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552" w:rsidRDefault="000F0552" w:rsidP="000F0552">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FINANCIAMIENTO DE LA VIVIENDA Y LA CONSTRUCCION</w:t>
      </w:r>
    </w:p>
    <w:p w:rsidR="000F0552" w:rsidRDefault="000F0552" w:rsidP="000F0552">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Nº 24.441</w:t>
      </w:r>
    </w:p>
    <w:p w:rsidR="000F0552" w:rsidRDefault="000F0552" w:rsidP="000F0552">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Fideicomiso. Fiduciario. Efectos del fideicomiso. Fideicomiso financiero. Certificados de participación y títulos de deuda. Insuficiencia del patrimonio fideicomitido en el fideicomiso financiero. Extinción del fideicomiso. Contrato de "leasing". Letras hipotecarias. Créditos hipotecarios para la vivienda. Régimen especial de ejecución de hipotecas. Reformas al Código Civil. Modificaciones al régimen de corretaje. Modificaciones a la Ley de Fondos Comunes de Inversión. Modificaciones al Código Procesal Civil y Comercial de la Nación. Modificaciones al Régimen Registral. Modificaciones al Código Penal. Modificaciones a las leyes impositivas. Desregulación de aspectos vinculados a la construcción en el ámbito de la Capital Federal.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Sancionada: Diciembre 22 de 1994.</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Promulgada: Enero 9 de 1995.</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El senado y Cámara de Diputados de la Nación Argentina, reunidos en Congreso, etc. sancionan con fuerza de Ley:</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fideicomiso</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1º</w:t>
      </w:r>
      <w:r>
        <w:rPr>
          <w:rStyle w:val="apple-converted-space"/>
          <w:rFonts w:ascii="Verdana" w:hAnsi="Verdana"/>
          <w:color w:val="000000"/>
          <w:sz w:val="18"/>
          <w:szCs w:val="18"/>
        </w:rPr>
        <w:t> </w:t>
      </w:r>
      <w:r>
        <w:rPr>
          <w:rFonts w:ascii="Verdana" w:hAnsi="Verdana"/>
          <w:color w:val="000000"/>
          <w:sz w:val="18"/>
          <w:szCs w:val="18"/>
        </w:rPr>
        <w:t>— Habrá fideicomiso cuando una persona (fiduciante) transmita la propiedad fiduciaria de bienes determinados a otra (fiduciario), quien se obliga a ejercerla en beneficio de quien se designe en el contrato (beneficiario), y a transmitirlo al cumplimiento de un plazo o condición al fiduciante, al beneficiario o al fideicomisario.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2º</w:t>
      </w:r>
      <w:r>
        <w:rPr>
          <w:rStyle w:val="apple-converted-space"/>
          <w:rFonts w:ascii="Verdana" w:hAnsi="Verdana"/>
          <w:color w:val="000000"/>
          <w:sz w:val="18"/>
          <w:szCs w:val="18"/>
        </w:rPr>
        <w:t> </w:t>
      </w:r>
      <w:r>
        <w:rPr>
          <w:rFonts w:ascii="Verdana" w:hAnsi="Verdana"/>
          <w:color w:val="000000"/>
          <w:sz w:val="18"/>
          <w:szCs w:val="18"/>
        </w:rPr>
        <w:t>— El contrato deberá individualizar al beneficiario, quien podrá ser una persona física o jurídica, que puede o no existir al tiempo del otorgamiento del contrato; en este último caso deberán constar los datos que permitan su individualización futura.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Podrá designarse más de un beneficiario, los que salvo disposición en contrario se beneficiarán por igual; también podrán designarse beneficiarios sustitutos para el caso de no aceptación, renuncia o muerte.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 ningún beneficiario aceptare, todos renunciaren o no llegaren a existir, se entenderá que el beneficiario es el fideicomisario. Si tampoco el fideicomisario llegara a existir, renunciare o no aceptare, el beneficiario será el fiduciante.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derecho del beneficiario puede transmitirse por actos entre vivos o por causa de muerte, salvo disposición en contrario del fiduciante.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3º</w:t>
      </w:r>
      <w:r>
        <w:rPr>
          <w:rStyle w:val="apple-converted-space"/>
          <w:rFonts w:ascii="Verdana" w:hAnsi="Verdana"/>
          <w:color w:val="000000"/>
          <w:sz w:val="18"/>
          <w:szCs w:val="18"/>
        </w:rPr>
        <w:t> </w:t>
      </w:r>
      <w:r>
        <w:rPr>
          <w:rFonts w:ascii="Verdana" w:hAnsi="Verdana"/>
          <w:color w:val="000000"/>
          <w:sz w:val="18"/>
          <w:szCs w:val="18"/>
        </w:rPr>
        <w:t>— El fideicomiso también podrá constituirse por testamento, extendido en alguna de las formas previstas por el Código Civil, el que contendrá al menos las enunciaciones requeridas por el artículo 4. En caso de que el fiduciario designado por testamento no aceptare se aplicará lo dispuesto en el artículo 10 de la presente ley.</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lastRenderedPageBreak/>
        <w:t>CAPITULO 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El fiduciario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4º</w:t>
      </w:r>
      <w:r>
        <w:rPr>
          <w:rStyle w:val="apple-converted-space"/>
          <w:rFonts w:ascii="Verdana" w:hAnsi="Verdana"/>
          <w:color w:val="000000"/>
          <w:sz w:val="18"/>
          <w:szCs w:val="18"/>
        </w:rPr>
        <w:t> </w:t>
      </w:r>
      <w:r>
        <w:rPr>
          <w:rFonts w:ascii="Verdana" w:hAnsi="Verdana"/>
          <w:color w:val="000000"/>
          <w:sz w:val="18"/>
          <w:szCs w:val="18"/>
        </w:rPr>
        <w:t>— El contrato también deberá contener: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individualización de los bienes objeto del contrato. En caso de no resultar posible tal individualización a la fecha de la celebración del fideicomiso, constará la descripción de los requisitos y características que deberán reunir los bienes;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determinación del modo en que otros bienes podrán ser incorporados al fideicomiso;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El plazo o condición a que se sujeta el dominio fiduciario, el que nunca podrá durar más de treinta (30) años desde su constitución, salvo que el beneficiario fuere un incapaz, caso en el que podrá durar hasta su muerte o el cese de su incapacidad;</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El destino de los bienes a la finalización del fideicomiso;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Los derechos y obligaciones del fiduciario y el modo de sustituirlo si cesare.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5º</w:t>
      </w:r>
      <w:r>
        <w:rPr>
          <w:rStyle w:val="apple-converted-space"/>
          <w:rFonts w:ascii="Verdana" w:hAnsi="Verdana"/>
          <w:color w:val="000000"/>
          <w:sz w:val="18"/>
          <w:szCs w:val="18"/>
        </w:rPr>
        <w:t> </w:t>
      </w:r>
      <w:r>
        <w:rPr>
          <w:rFonts w:ascii="Verdana" w:hAnsi="Verdana"/>
          <w:color w:val="000000"/>
          <w:sz w:val="18"/>
          <w:szCs w:val="18"/>
        </w:rPr>
        <w:t>— El fiduciario podrá ser cualquier persona física o jurídica. Sólo podrán ofrecerse al público para actuar como fiduciarios las entidades financieras autorizadas a funcionar como tales sujetas a las disposiciones de la ley respectiva y las personas jurídicas que autorice la Comisión Nacional de Valores quien establecerá los requisitos que deban cumplir.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6º</w:t>
      </w:r>
      <w:r>
        <w:rPr>
          <w:rStyle w:val="apple-converted-space"/>
          <w:rFonts w:ascii="Verdana" w:hAnsi="Verdana"/>
          <w:color w:val="000000"/>
          <w:sz w:val="18"/>
          <w:szCs w:val="18"/>
        </w:rPr>
        <w:t> </w:t>
      </w:r>
      <w:r>
        <w:rPr>
          <w:rFonts w:ascii="Verdana" w:hAnsi="Verdana"/>
          <w:color w:val="000000"/>
          <w:sz w:val="18"/>
          <w:szCs w:val="18"/>
        </w:rPr>
        <w:t>— El fiduciario deberá cumplir las obligaciones impuestas por la ley o la convención con la prudencia y diligencia del buen hombre de negocios que actúa sobre la base de la confianza depositada en él.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7º</w:t>
      </w:r>
      <w:r>
        <w:rPr>
          <w:rStyle w:val="apple-converted-space"/>
          <w:rFonts w:ascii="Verdana" w:hAnsi="Verdana"/>
          <w:color w:val="000000"/>
          <w:sz w:val="18"/>
          <w:szCs w:val="18"/>
        </w:rPr>
        <w:t> </w:t>
      </w:r>
      <w:r>
        <w:rPr>
          <w:rFonts w:ascii="Verdana" w:hAnsi="Verdana"/>
          <w:color w:val="000000"/>
          <w:sz w:val="18"/>
          <w:szCs w:val="18"/>
        </w:rPr>
        <w:t>— El contrato no podrá dispensar al fiduciario de la obligación de rendir cuentas, la que podrá ser solicitada por el beneficiario conforme las previsiones contractuales ni de la culpa o dolo en que pudieren incurrir él o sus dependientes, ni de la prohibición de adquirir para sí los bienes fideicomitidos.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todos los casos los fiduciarios deberán rendir cuentas a los beneficiarios con una periodicidad no mayor a un (1) año.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8º</w:t>
      </w:r>
      <w:r>
        <w:rPr>
          <w:rStyle w:val="apple-converted-space"/>
          <w:rFonts w:ascii="Verdana" w:hAnsi="Verdana"/>
          <w:color w:val="000000"/>
          <w:sz w:val="18"/>
          <w:szCs w:val="18"/>
        </w:rPr>
        <w:t> </w:t>
      </w:r>
      <w:r>
        <w:rPr>
          <w:rFonts w:ascii="Verdana" w:hAnsi="Verdana"/>
          <w:color w:val="000000"/>
          <w:sz w:val="18"/>
          <w:szCs w:val="18"/>
        </w:rPr>
        <w:t>— Salvo estipulación en contrario, el fiduciario tendrá derecho al reembolso de los gastos y a una retribución. Si ésta no hubiese sido fijada en el contrato, la fijará el juez teniendo en consideración la índole de la encomienda y la importancia de los deberes a cumplir.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9º</w:t>
      </w:r>
      <w:r>
        <w:rPr>
          <w:rStyle w:val="apple-converted-space"/>
          <w:rFonts w:ascii="Verdana" w:hAnsi="Verdana"/>
          <w:color w:val="000000"/>
          <w:sz w:val="18"/>
          <w:szCs w:val="18"/>
        </w:rPr>
        <w:t> </w:t>
      </w:r>
      <w:r>
        <w:rPr>
          <w:rFonts w:ascii="Verdana" w:hAnsi="Verdana"/>
          <w:color w:val="000000"/>
          <w:sz w:val="18"/>
          <w:szCs w:val="18"/>
        </w:rPr>
        <w:t>— El fiduciario cesará como tal por: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Remoción judicial por incumplimiento de sus obligaciones, a instancia del fiduciante; o a pedido del beneficiario con citación del fiduciante;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Por muerte o incapacidad judicialmente declarada si fuera una persona física;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Por disolución si fuere una persona jurídica;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Por quiebra o liquidación;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e) Por renuncia si en el contrato se hubiese autorizado expresamente esta causa. La renuncia tendrá efecto después de la transferencia del patrimonio objeto del fideicomiso al fiduciario sustituto.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10.</w:t>
      </w:r>
      <w:r>
        <w:rPr>
          <w:rStyle w:val="apple-converted-space"/>
          <w:rFonts w:ascii="Verdana" w:hAnsi="Verdana"/>
          <w:color w:val="000000"/>
          <w:sz w:val="18"/>
          <w:szCs w:val="18"/>
        </w:rPr>
        <w:t> </w:t>
      </w:r>
      <w:r>
        <w:rPr>
          <w:rFonts w:ascii="Verdana" w:hAnsi="Verdana"/>
          <w:color w:val="000000"/>
          <w:sz w:val="18"/>
          <w:szCs w:val="18"/>
        </w:rPr>
        <w:t>— Producida una causa de cesación del fiduciario, será reemplazado por el sustituto designado en el contrato o de acuerdo al procedimiento previsto por él. Si no lo hubiere o no aceptare, el juez designará como fiduciario a una de las entidades autorizadas de acuerdo a lo previsto en el artículo 19. Los bienes fideicomitidos serán transmitidos al nuevo fiduciario.</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Efectos del fideicomiso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11.</w:t>
      </w:r>
      <w:r>
        <w:rPr>
          <w:rStyle w:val="apple-converted-space"/>
          <w:rFonts w:ascii="Verdana" w:hAnsi="Verdana"/>
          <w:color w:val="000000"/>
          <w:sz w:val="18"/>
          <w:szCs w:val="18"/>
        </w:rPr>
        <w:t> </w:t>
      </w:r>
      <w:r>
        <w:rPr>
          <w:rFonts w:ascii="Verdana" w:hAnsi="Verdana"/>
          <w:color w:val="000000"/>
          <w:sz w:val="18"/>
          <w:szCs w:val="18"/>
        </w:rPr>
        <w:t>— Sobre los bienes fideicomitidos se constituye una propiedad fiduciaria que se rige por lo dispuesto en el título VII del libro III del Código Civil y las disposiciones de la presente ley cuando se trate de cosas, o las que correspondieren a la naturaleza de los bienes cuando éstos no sean cosas.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12.</w:t>
      </w:r>
      <w:r>
        <w:rPr>
          <w:rStyle w:val="apple-converted-space"/>
          <w:rFonts w:ascii="Verdana" w:hAnsi="Verdana"/>
          <w:color w:val="000000"/>
          <w:sz w:val="18"/>
          <w:szCs w:val="18"/>
        </w:rPr>
        <w:t> </w:t>
      </w:r>
      <w:r>
        <w:rPr>
          <w:rFonts w:ascii="Verdana" w:hAnsi="Verdana"/>
          <w:color w:val="000000"/>
          <w:sz w:val="18"/>
          <w:szCs w:val="18"/>
        </w:rPr>
        <w:t>— El carácter fiduciario del dominio tendrá efecto frente a terceros desde el momento en que se cumplan las formalidades exigibles de acuerdo a la naturaleza de los bienes respectivos.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13.</w:t>
      </w:r>
      <w:r>
        <w:rPr>
          <w:rStyle w:val="apple-converted-space"/>
          <w:rFonts w:ascii="Verdana" w:hAnsi="Verdana"/>
          <w:color w:val="000000"/>
          <w:sz w:val="18"/>
          <w:szCs w:val="18"/>
        </w:rPr>
        <w:t> </w:t>
      </w:r>
      <w:r>
        <w:rPr>
          <w:rFonts w:ascii="Verdana" w:hAnsi="Verdana"/>
          <w:color w:val="000000"/>
          <w:sz w:val="18"/>
          <w:szCs w:val="18"/>
        </w:rPr>
        <w:t>— Cuando se trate de bienes registrables, los registros correspondientes deberán tomar razón de la transferencia fiduciaria de la propiedad a nombre del fiduciario. Cuando así resulte del contrato, el fiduciario adquirirá la propiedad fiduciaria de otros bienes que adquiera con los frutos de los bienes fideicomitidos o con el producto de actos de disposición sobre los mismos, dejándose constancia de ello en el acto de adquisición y en los registros pertinentes.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14.</w:t>
      </w:r>
      <w:r>
        <w:rPr>
          <w:rStyle w:val="apple-converted-space"/>
          <w:rFonts w:ascii="Verdana" w:hAnsi="Verdana"/>
          <w:color w:val="000000"/>
          <w:sz w:val="18"/>
          <w:szCs w:val="18"/>
        </w:rPr>
        <w:t> </w:t>
      </w:r>
      <w:r>
        <w:rPr>
          <w:rFonts w:ascii="Verdana" w:hAnsi="Verdana"/>
          <w:color w:val="000000"/>
          <w:sz w:val="18"/>
          <w:szCs w:val="18"/>
        </w:rPr>
        <w:t>— Los bienes fideicomitidos constituyen un patrimonio separado del patrimonio del fiduciario y del fiduciante. La responsabilidad objetiva del fiduciario emergente del artículo 1113 del Código Civil se limita al valor de la cosa fideicomitida cuyo riesgo o vicio fuese causa del daño si el fiduciario no pudo razonablemente haberse asegurado.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15.</w:t>
      </w:r>
      <w:r>
        <w:rPr>
          <w:rStyle w:val="apple-converted-space"/>
          <w:rFonts w:ascii="Verdana" w:hAnsi="Verdana"/>
          <w:color w:val="000000"/>
          <w:sz w:val="18"/>
          <w:szCs w:val="18"/>
        </w:rPr>
        <w:t> </w:t>
      </w:r>
      <w:r>
        <w:rPr>
          <w:rFonts w:ascii="Verdana" w:hAnsi="Verdana"/>
          <w:color w:val="000000"/>
          <w:sz w:val="18"/>
          <w:szCs w:val="18"/>
        </w:rPr>
        <w:t>— Los bienes fideicomitidos quedarán exentos de la acción singular o colectiva de los acreedores del fiduciario. Tampoco podrán agredir los bienes fideicomitidos los acreedores del fiduciante, quedando a salvo la acción de fraude. Los acreedores del beneficiario podrán ejercer sus derechos sobre los frutos de los bienes fideicomitidos y subrogarse en sus derechos.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16.</w:t>
      </w:r>
      <w:r>
        <w:rPr>
          <w:rStyle w:val="apple-converted-space"/>
          <w:rFonts w:ascii="Verdana" w:hAnsi="Verdana"/>
          <w:color w:val="000000"/>
          <w:sz w:val="18"/>
          <w:szCs w:val="18"/>
        </w:rPr>
        <w:t> </w:t>
      </w:r>
      <w:r>
        <w:rPr>
          <w:rFonts w:ascii="Verdana" w:hAnsi="Verdana"/>
          <w:color w:val="000000"/>
          <w:sz w:val="18"/>
          <w:szCs w:val="18"/>
        </w:rPr>
        <w:t>— Los bienes del fiduciario no responderán por las obligaciones contraídas en la ejecución del fideicomiso, las que sólo serán satisfechas con los bienes fideicomitidos. La insuficiencia de los bienes fideicomitidos para atender a estas obligaciones, no dará lugar a la declaración de su quiebra. En tal supuesto y a falta de otros recursos provistos por el fiduciante o el beneficiario según visiones contractuales, procederá a su liquidación, la que estará a cargo del fiduciario, quien deberá enajenar los bienes que lo integren y entregará el producido a los acreedores conforme al orden de privilegios previstos para la quiebra; si se tratase de fideicomiso financiero regirán en lo pertinente las normas del artículo 24.</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17.</w:t>
      </w:r>
      <w:r>
        <w:rPr>
          <w:rStyle w:val="apple-converted-space"/>
          <w:rFonts w:ascii="Verdana" w:hAnsi="Verdana"/>
          <w:color w:val="000000"/>
          <w:sz w:val="18"/>
          <w:szCs w:val="18"/>
        </w:rPr>
        <w:t> </w:t>
      </w:r>
      <w:r>
        <w:rPr>
          <w:rFonts w:ascii="Verdana" w:hAnsi="Verdana"/>
          <w:color w:val="000000"/>
          <w:sz w:val="18"/>
          <w:szCs w:val="18"/>
        </w:rPr>
        <w:t>— El fiduciario podrá disponer o gravar los bienes fideicomitidos cuando lo requieran los fines del fideicomiso, sin que para ello sea necesario el consentimiento del fiduciante o del beneficiario, a menos que se hubiere pactado lo contrario.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18.</w:t>
      </w:r>
      <w:r>
        <w:rPr>
          <w:rStyle w:val="apple-converted-space"/>
          <w:rFonts w:ascii="Verdana" w:hAnsi="Verdana"/>
          <w:color w:val="000000"/>
          <w:sz w:val="18"/>
          <w:szCs w:val="18"/>
        </w:rPr>
        <w:t> </w:t>
      </w:r>
      <w:r>
        <w:rPr>
          <w:rFonts w:ascii="Verdana" w:hAnsi="Verdana"/>
          <w:color w:val="000000"/>
          <w:sz w:val="18"/>
          <w:szCs w:val="18"/>
        </w:rPr>
        <w:t>— El fiduciario se halla legitimado para ejercer todas las acciones que correspondan para la defensa de los bienes fideicomitidos, tanto contra terceros como contra el beneficiario.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juez podrá autorizar al fiduciante o al beneficiario a ejercer acciones en sustitución del fiduciario, cuando éste no lo hiciere sin motivo suficiente.</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IV</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fideicomiso financiero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19.</w:t>
      </w:r>
      <w:r>
        <w:rPr>
          <w:rStyle w:val="apple-converted-space"/>
          <w:rFonts w:ascii="Verdana" w:hAnsi="Verdana"/>
          <w:color w:val="000000"/>
          <w:sz w:val="18"/>
          <w:szCs w:val="18"/>
        </w:rPr>
        <w:t> </w:t>
      </w:r>
      <w:r>
        <w:rPr>
          <w:rFonts w:ascii="Verdana" w:hAnsi="Verdana"/>
          <w:color w:val="000000"/>
          <w:sz w:val="18"/>
          <w:szCs w:val="18"/>
        </w:rPr>
        <w:t>— Fideicomiso financiero es aquel contrato de fideicomiso sujeto a las reglas precedentes, en el cual el fiduciario es una entidad financiera o una sociedad especialmente autorizada por la Comisión Nacional de Valores para actuar como fiduciario financiero, y beneficiario son los titulares de certificados de participación en el dominio fiduciario o de títulos representativos de deuda garantizados con los bienes así transmitidos.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Dichos certificados de participación y títulos de deudo serán considerados títulos valores y podrán ser objeto de oferta pública.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Comisión Nacional de Valores será autoridad de aplicación respecto de los fideicomisos financieros, pudiendo dictar normas reglamentarias.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20.</w:t>
      </w:r>
      <w:r>
        <w:rPr>
          <w:rStyle w:val="apple-converted-space"/>
          <w:rFonts w:ascii="Verdana" w:hAnsi="Verdana"/>
          <w:color w:val="000000"/>
          <w:sz w:val="18"/>
          <w:szCs w:val="18"/>
        </w:rPr>
        <w:t> </w:t>
      </w:r>
      <w:r>
        <w:rPr>
          <w:rFonts w:ascii="Verdana" w:hAnsi="Verdana"/>
          <w:color w:val="000000"/>
          <w:sz w:val="18"/>
          <w:szCs w:val="18"/>
        </w:rPr>
        <w:t>— El contrato de fideicomiso deberá contener las previsiones del artículo 4 y las condiciones de emisión de los certificados de participación o títulos representativos de deuda.</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los certificados de participación y títulos de deuda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21.</w:t>
      </w:r>
      <w:r>
        <w:rPr>
          <w:rStyle w:val="apple-converted-space"/>
          <w:rFonts w:ascii="Verdana" w:hAnsi="Verdana"/>
          <w:color w:val="000000"/>
          <w:sz w:val="18"/>
          <w:szCs w:val="18"/>
        </w:rPr>
        <w:t> </w:t>
      </w:r>
      <w:r>
        <w:rPr>
          <w:rFonts w:ascii="Verdana" w:hAnsi="Verdana"/>
          <w:color w:val="000000"/>
          <w:sz w:val="18"/>
          <w:szCs w:val="18"/>
        </w:rPr>
        <w:t>— Los certificados de participación serán emitidos por el fiduciario. Los títulos representativos de deuda garantizados por los bienes fideicomitidos podrán ser emitidos por el fiduciario o por terceros, según fuere el caso. Los certificados de participación y los títulos representativos de deuda podrán ser al portador o nominativos, endosables o no, o escriturales conforme al artículo 8 y concordantes de la ley 23.576 (con las modificaciones de la ley 23.962). Los certificados serán emitidos en base a un prospecto en el que constarán las condiciones de la emisión, y contendrá las enunciaciones necesarias para identificar el fideicomiso al que pertenecen, con somera descripción de los derechos que confieren.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Podrán emitirse certificados globales de los certificados de participación, para su inscripción en regímenes de depósito colectivo. A tal fin se considerarán definitivos, negociables y divisibles.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22.</w:t>
      </w:r>
      <w:r>
        <w:rPr>
          <w:rStyle w:val="apple-converted-space"/>
          <w:rFonts w:ascii="Verdana" w:hAnsi="Verdana"/>
          <w:color w:val="000000"/>
          <w:sz w:val="18"/>
          <w:szCs w:val="18"/>
        </w:rPr>
        <w:t> </w:t>
      </w:r>
      <w:r>
        <w:rPr>
          <w:rFonts w:ascii="Verdana" w:hAnsi="Verdana"/>
          <w:color w:val="000000"/>
          <w:sz w:val="18"/>
          <w:szCs w:val="18"/>
        </w:rPr>
        <w:t>— Pueden emitirse diversas clases de certificados de participación con derechos diferentes. Dentro de cada clase se otorgarán los mismos derechos. La emisión puede dividirse en series.</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 insuficiencia del patrimonio fideicomitido en el fideicomiso financiero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23.</w:t>
      </w:r>
      <w:r>
        <w:rPr>
          <w:rStyle w:val="apple-converted-space"/>
          <w:rFonts w:ascii="Verdana" w:hAnsi="Verdana"/>
          <w:color w:val="000000"/>
          <w:sz w:val="18"/>
          <w:szCs w:val="18"/>
        </w:rPr>
        <w:t> </w:t>
      </w:r>
      <w:r>
        <w:rPr>
          <w:rFonts w:ascii="Verdana" w:hAnsi="Verdana"/>
          <w:color w:val="000000"/>
          <w:sz w:val="18"/>
          <w:szCs w:val="18"/>
        </w:rPr>
        <w:t xml:space="preserve">— En el fideicomiso financiero del capítulo IV, en caso de insuficiencia del patrimonio fideicomitido, si no hubiere previsión contractual, el fiduciario citará a asamblea de tenedores de títulos de deuda, lo que se </w:t>
      </w:r>
      <w:r>
        <w:rPr>
          <w:rFonts w:ascii="Verdana" w:hAnsi="Verdana"/>
          <w:color w:val="000000"/>
          <w:sz w:val="18"/>
          <w:szCs w:val="18"/>
        </w:rPr>
        <w:lastRenderedPageBreak/>
        <w:t>notificará mediante la publicación de avisos en el Boletín Oficial y un diario de gran circulación del domicilio del fiduciario, la que se celebrará dentro del plazo de sesenta días contados a partir de la última publicación, a fin de que la asamblea resuelva sobre las normas de administración y liquidación del patrimonio.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24.</w:t>
      </w:r>
      <w:r>
        <w:rPr>
          <w:rStyle w:val="apple-converted-space"/>
          <w:rFonts w:ascii="Verdana" w:hAnsi="Verdana"/>
          <w:color w:val="000000"/>
          <w:sz w:val="18"/>
          <w:szCs w:val="18"/>
        </w:rPr>
        <w:t> </w:t>
      </w:r>
      <w:r>
        <w:rPr>
          <w:rFonts w:ascii="Verdana" w:hAnsi="Verdana"/>
          <w:color w:val="000000"/>
          <w:sz w:val="18"/>
          <w:szCs w:val="18"/>
        </w:rPr>
        <w:t>— Las normas a que se refiere el artículo precedente podrán prever: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transferencia del patrimonio fideicomitido como unidad a otra sociedad de igual giro;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modificaciones del contrato de emisión, las que podrán comprender la remisión de parte de las deudas o la modificación de los plazos, modos o condiciones iniciales;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 continuación de la administración de los bienes fideicomitidos hasta la extinción del fideicomiso;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La forma de enajenación de los activos del patrimonio fideicomitido;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La designación de aquel que tendrá a su cargo la enajenación del patrimonio como unidad o de los activos que lo conforman;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Cualquier otra materia que determine la asamblea relativa a la administración o liquidación del patrimonio separado.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asamblea se considerará válidamente constituida cuando estuviesen presentes tenedores de títulos que representen como mínimo dos terceras partes del capital emitido y en circulación; podrá actuarse por representación con carta poder certificada por escribano público, autoridad judicial o banco; no es necesaria legalización.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acuerdos deberán adoptarse por el voto favorable de tenedores de títulos que representen, a lo menos, la mayoría absoluta del capital emitido y en circulación, salvo en el caso de las materias indicadas en el inciso b) en que la mayoría será de dos terceras partes (2/3) de los títulos emitidos y en circulación.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 no hubiese quórum en la primera citación se deberá citar a una nueva asamblea la cual deberá celebrarse dentro de los treinta (30) días siguientes a la fecha fijada para la asamblea no efectuada; ésta se considerará válida con los tenedores que se encuentren presentes. Los acuerdos deberán adoptarse con el voto favorable de títulos que representen a los menos la mayoría absoluta del capital emitido y en circulación.</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 extinción del fideicomiso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25.</w:t>
      </w:r>
      <w:r>
        <w:rPr>
          <w:rStyle w:val="apple-converted-space"/>
          <w:rFonts w:ascii="Verdana" w:hAnsi="Verdana"/>
          <w:color w:val="000000"/>
          <w:sz w:val="18"/>
          <w:szCs w:val="18"/>
        </w:rPr>
        <w:t> </w:t>
      </w:r>
      <w:r>
        <w:rPr>
          <w:rFonts w:ascii="Verdana" w:hAnsi="Verdana"/>
          <w:color w:val="000000"/>
          <w:sz w:val="18"/>
          <w:szCs w:val="18"/>
        </w:rPr>
        <w:t>— El fideicomiso se extinguirá por: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cumplimiento del plazo o la condición a que se hubiere sometido o el vencimiento del plazo máximo legal;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revocación del fiduciante si se hubiere reservado expresamente esa facultad; la revocación no tendrá efecto retroactivo;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c) Cualquier otra causal prevista en el contrato.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26.</w:t>
      </w:r>
      <w:r>
        <w:rPr>
          <w:rStyle w:val="apple-converted-space"/>
          <w:rFonts w:ascii="Verdana" w:hAnsi="Verdana"/>
          <w:color w:val="000000"/>
          <w:sz w:val="18"/>
          <w:szCs w:val="18"/>
        </w:rPr>
        <w:t> </w:t>
      </w:r>
      <w:r>
        <w:rPr>
          <w:rFonts w:ascii="Verdana" w:hAnsi="Verdana"/>
          <w:color w:val="000000"/>
          <w:sz w:val="18"/>
          <w:szCs w:val="18"/>
        </w:rPr>
        <w:t>— Producida la extinción del fideicomiso, el fiduciario estará obligado a entregar los bienes fideicomitidos al fideicomisario o a sus sucesores, otorgando los instrumentos y contribuyendo a las inscripciones registrales que correspondan.</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Contrato de "leasing"</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(Título derogado por el Art. 27 de la</w:t>
      </w:r>
      <w:r>
        <w:rPr>
          <w:rStyle w:val="apple-converted-space"/>
          <w:rFonts w:ascii="Verdana" w:hAnsi="Verdana"/>
          <w:i/>
          <w:iCs/>
          <w:color w:val="000000"/>
          <w:sz w:val="18"/>
          <w:szCs w:val="18"/>
        </w:rPr>
        <w:t> </w:t>
      </w:r>
      <w:hyperlink r:id="rId4" w:history="1">
        <w:r>
          <w:rPr>
            <w:rStyle w:val="Hipervnculo"/>
            <w:rFonts w:ascii="Verdana" w:hAnsi="Verdana"/>
            <w:i/>
            <w:iCs/>
            <w:sz w:val="18"/>
            <w:szCs w:val="18"/>
          </w:rPr>
          <w:t>Ley Nº 25.248</w:t>
        </w:r>
      </w:hyperlink>
      <w:r>
        <w:rPr>
          <w:rStyle w:val="apple-converted-space"/>
          <w:rFonts w:ascii="Verdana" w:hAnsi="Verdana"/>
          <w:i/>
          <w:iCs/>
          <w:color w:val="000000"/>
          <w:sz w:val="18"/>
          <w:szCs w:val="18"/>
        </w:rPr>
        <w:t> </w:t>
      </w:r>
      <w:r>
        <w:rPr>
          <w:rFonts w:ascii="Verdana" w:hAnsi="Verdana"/>
          <w:i/>
          <w:iCs/>
          <w:color w:val="000000"/>
          <w:sz w:val="18"/>
          <w:szCs w:val="18"/>
        </w:rPr>
        <w:t>B.O. 14/6/2000)</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letras hipotecarias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35.</w:t>
      </w:r>
      <w:r>
        <w:rPr>
          <w:rStyle w:val="apple-converted-space"/>
          <w:rFonts w:ascii="Verdana" w:hAnsi="Verdana"/>
          <w:color w:val="000000"/>
          <w:sz w:val="18"/>
          <w:szCs w:val="18"/>
        </w:rPr>
        <w:t> </w:t>
      </w:r>
      <w:r>
        <w:rPr>
          <w:rFonts w:ascii="Verdana" w:hAnsi="Verdana"/>
          <w:color w:val="000000"/>
          <w:sz w:val="18"/>
          <w:szCs w:val="18"/>
        </w:rPr>
        <w:t>— Las letras hipotecarias son títulos valores con garantía hipotecaria.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36.</w:t>
      </w:r>
      <w:r>
        <w:rPr>
          <w:rStyle w:val="apple-converted-space"/>
          <w:rFonts w:ascii="Verdana" w:hAnsi="Verdana"/>
          <w:color w:val="000000"/>
          <w:sz w:val="18"/>
          <w:szCs w:val="18"/>
        </w:rPr>
        <w:t> </w:t>
      </w:r>
      <w:r>
        <w:rPr>
          <w:rFonts w:ascii="Verdana" w:hAnsi="Verdana"/>
          <w:color w:val="000000"/>
          <w:sz w:val="18"/>
          <w:szCs w:val="18"/>
        </w:rPr>
        <w:t>— La emisión de letras hipotecarias sólo puede corresponder a hipotecas de primer grado y estar consentida expresamente en el acto de constitución de la hipoteca.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37.</w:t>
      </w:r>
      <w:r>
        <w:rPr>
          <w:rStyle w:val="apple-converted-space"/>
          <w:rFonts w:ascii="Verdana" w:hAnsi="Verdana"/>
          <w:color w:val="000000"/>
          <w:sz w:val="18"/>
          <w:szCs w:val="18"/>
        </w:rPr>
        <w:t> </w:t>
      </w:r>
      <w:r>
        <w:rPr>
          <w:rFonts w:ascii="Verdana" w:hAnsi="Verdana"/>
          <w:color w:val="000000"/>
          <w:sz w:val="18"/>
          <w:szCs w:val="18"/>
        </w:rPr>
        <w:t>— La emisión de letras hipotecarias extingue por novación la obligación que era garantizada por la hipoteca.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38.</w:t>
      </w:r>
      <w:r>
        <w:rPr>
          <w:rStyle w:val="apple-converted-space"/>
          <w:rFonts w:ascii="Verdana" w:hAnsi="Verdana"/>
          <w:color w:val="000000"/>
          <w:sz w:val="18"/>
          <w:szCs w:val="18"/>
        </w:rPr>
        <w:t> </w:t>
      </w:r>
      <w:r>
        <w:rPr>
          <w:rFonts w:ascii="Verdana" w:hAnsi="Verdana"/>
          <w:color w:val="000000"/>
          <w:sz w:val="18"/>
          <w:szCs w:val="18"/>
        </w:rPr>
        <w:t>— La emisión de letras hipotecarias no impide al deudor transmitir el dominio del inmueble; el nuevo propietario tendrá los derechos y obligaciones del tercer poseedor de cosa hipotecada. La locación convenida con posterioridad a la constitución de la hipoteca será inoponible a quienes adquieran derechos sobre la letra o sus cupones. El deudor o el tercero poseedor tienen la obligación de mantener la cosa asegurada contra incendio en las condiciones usuales de plaza; el incumplimiento causa la caducidad de los plazos previstos en la letra.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39.</w:t>
      </w:r>
      <w:r>
        <w:rPr>
          <w:rStyle w:val="apple-converted-space"/>
          <w:rFonts w:ascii="Verdana" w:hAnsi="Verdana"/>
          <w:color w:val="000000"/>
          <w:sz w:val="18"/>
          <w:szCs w:val="18"/>
        </w:rPr>
        <w:t> </w:t>
      </w:r>
      <w:r>
        <w:rPr>
          <w:rFonts w:ascii="Verdana" w:hAnsi="Verdana"/>
          <w:color w:val="000000"/>
          <w:sz w:val="18"/>
          <w:szCs w:val="18"/>
        </w:rPr>
        <w:t>— Las letras hipotecarias son emitidas por el deudor, e intervenidas por el Registro de la Propiedad Inmueble que corresponda a la jurisdicción donde se encuentre el inmueble hipotecado, en papel que asegure su inalterabilidad, bajo la firma del deudor, el escribano y un funcionario autorizado del registro, dejándose constancia de su emisión en el mismo asiento de la hipoteca. Las letras hipotecarias deberán contener las siguientes enunciaciones: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Nombre del deudor y, en su caso, del propietario del inmueble hipotecado;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Nombre del acreedor;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Monto de la obligación incorporada a la letra, expresado en una cantidad determinada en moneda nacional o extranjera;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Plazos y demás estipulaciones respecto del pago, con los respectivos cupones, salvo lo previsto en el artículo 41 para las letras susceptibles de amortizaciones variables;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El lugar en el cual debe hacerse el pago;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f) Tasa de interés compensatorio y punitorio;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Ubicación del inmueble hipotecado y sus datos registrales y catastrales;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Deberá prever la anotación de pagos de servicios de capital o renta o pagos parciales;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La indicación expresa de que la tenencia de los cupones de capital e intereses acredita su pago, y que el acreedor se halla obligado a entregarlos y el deudor a requerirlos;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Los demás que fijen las reglamentaciones que se dicten.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También se dejará constancia en las letras de las modificaciones que se convengan respecto del crédito, como las relativas a plazos de pago, tasas de interés, etcétera, las letras hipotecarias también podrán ser escriturales.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40.</w:t>
      </w:r>
      <w:r>
        <w:rPr>
          <w:rStyle w:val="apple-converted-space"/>
          <w:rFonts w:ascii="Verdana" w:hAnsi="Verdana"/>
          <w:color w:val="000000"/>
          <w:sz w:val="18"/>
          <w:szCs w:val="18"/>
        </w:rPr>
        <w:t> </w:t>
      </w:r>
      <w:r>
        <w:rPr>
          <w:rFonts w:ascii="Verdana" w:hAnsi="Verdana"/>
          <w:color w:val="000000"/>
          <w:sz w:val="18"/>
          <w:szCs w:val="18"/>
        </w:rPr>
        <w:t>— Las letras hipotecarias se transmiten por endoso nominativo que se hará en el lugar habilitado para ello en el título, o en su prolongación; deberá constar el nombre del endosatario, quien podrá volver a transmitir el título bajo las mismas formas, y la fecha del endoso. No es necesaria notificación al deudor, y éste no podrá oponer al portador o endosatario las defensas que tuviere contra anteriores endosatarios o portadores del título salvo lo dispuesto en el artículo 42, in fine. El endoso de la letra hipotecaria es sin responsabilidad del endosante.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41.</w:t>
      </w:r>
      <w:r>
        <w:rPr>
          <w:rStyle w:val="apple-converted-space"/>
          <w:rFonts w:ascii="Verdana" w:hAnsi="Verdana"/>
          <w:color w:val="000000"/>
          <w:sz w:val="18"/>
          <w:szCs w:val="18"/>
        </w:rPr>
        <w:t> </w:t>
      </w:r>
      <w:r>
        <w:rPr>
          <w:rFonts w:ascii="Verdana" w:hAnsi="Verdana"/>
          <w:color w:val="000000"/>
          <w:sz w:val="18"/>
          <w:szCs w:val="18"/>
        </w:rPr>
        <w:t>— Las letras hipotecarias tendrán cupones para instrumentar las cuotas de capital o servicios de intereses. Quien haga el pago tendrá derecho a que se le entregue el cupón correspondiente como único instrumento válido acreditativo. Si la letra fuera susceptible de amortización en cuotas variables podrá omitirse la emisión de cupones; en ese caso el deudor tendrá derecho a que los pagos parciales se anoten en el cuerpo de la letra, sin perjuicio de lo cual serán oponibles aun al tenedor de buena fe los pagos documentados que no se hubieren inscrito de esta manera.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42.</w:t>
      </w:r>
      <w:r>
        <w:rPr>
          <w:rStyle w:val="apple-converted-space"/>
          <w:rFonts w:ascii="Verdana" w:hAnsi="Verdana"/>
          <w:color w:val="000000"/>
          <w:sz w:val="18"/>
          <w:szCs w:val="18"/>
        </w:rPr>
        <w:t> </w:t>
      </w:r>
      <w:r>
        <w:rPr>
          <w:rFonts w:ascii="Verdana" w:hAnsi="Verdana"/>
          <w:color w:val="000000"/>
          <w:sz w:val="18"/>
          <w:szCs w:val="18"/>
        </w:rPr>
        <w:t>— El pago se hará en el lugar indicado en la letra. El lugar de pago podrá ser cambiado dentro de la misma ciudad, y sólo tendrá efecto a partir de su notificación al deudor.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43.</w:t>
      </w:r>
      <w:r>
        <w:rPr>
          <w:rStyle w:val="apple-converted-space"/>
          <w:rFonts w:ascii="Verdana" w:hAnsi="Verdana"/>
          <w:color w:val="000000"/>
          <w:sz w:val="18"/>
          <w:szCs w:val="18"/>
        </w:rPr>
        <w:t> </w:t>
      </w:r>
      <w:r>
        <w:rPr>
          <w:rFonts w:ascii="Verdana" w:hAnsi="Verdana"/>
          <w:color w:val="000000"/>
          <w:sz w:val="18"/>
          <w:szCs w:val="18"/>
        </w:rPr>
        <w:t>— Verificados los recaudos previstos en el artículo precedente, la mora se producirá en forma automática al solo vencimiento, sin necesidad de interpelación alguna.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44.</w:t>
      </w:r>
      <w:r>
        <w:rPr>
          <w:rStyle w:val="apple-converted-space"/>
          <w:rFonts w:ascii="Verdana" w:hAnsi="Verdana"/>
          <w:color w:val="000000"/>
          <w:sz w:val="18"/>
          <w:szCs w:val="18"/>
        </w:rPr>
        <w:t> </w:t>
      </w:r>
      <w:r>
        <w:rPr>
          <w:rFonts w:ascii="Verdana" w:hAnsi="Verdana"/>
          <w:color w:val="000000"/>
          <w:sz w:val="18"/>
          <w:szCs w:val="18"/>
        </w:rPr>
        <w:t>— El derecho real de hipoteca incorporado al título se rige por las disposiciones del Código Civil en materia de hipoteca.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45.</w:t>
      </w:r>
      <w:r>
        <w:rPr>
          <w:rStyle w:val="apple-converted-space"/>
          <w:rFonts w:ascii="Verdana" w:hAnsi="Verdana"/>
          <w:color w:val="000000"/>
          <w:sz w:val="18"/>
          <w:szCs w:val="18"/>
        </w:rPr>
        <w:t> </w:t>
      </w:r>
      <w:r>
        <w:rPr>
          <w:rFonts w:ascii="Verdana" w:hAnsi="Verdana"/>
          <w:color w:val="000000"/>
          <w:sz w:val="18"/>
          <w:szCs w:val="18"/>
        </w:rPr>
        <w:t>— El portador de la letra hipotecaria o de alguno de los cupones puede ejecutar el título por el procedimiento de ejecución especial previsto en el título IV de esta ley cuando así se hubiere convenido en el acto de constitución de la hipoteca. De ello deberá dejarse constancia en la letra y en los cupones.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46.</w:t>
      </w:r>
      <w:r>
        <w:rPr>
          <w:rStyle w:val="apple-converted-space"/>
          <w:rFonts w:ascii="Verdana" w:hAnsi="Verdana"/>
          <w:color w:val="000000"/>
          <w:sz w:val="18"/>
          <w:szCs w:val="18"/>
        </w:rPr>
        <w:t> </w:t>
      </w:r>
      <w:r>
        <w:rPr>
          <w:rFonts w:ascii="Verdana" w:hAnsi="Verdana"/>
          <w:color w:val="000000"/>
          <w:sz w:val="18"/>
          <w:szCs w:val="18"/>
        </w:rPr>
        <w:t>— Al título valor son subsidiariamente aplicables, en cuanto resulten compatibles, las reglas previstas por el decreto ley 5965/63 para la letra de cambio.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47.</w:t>
      </w:r>
      <w:r>
        <w:rPr>
          <w:rStyle w:val="apple-converted-space"/>
          <w:rFonts w:ascii="Verdana" w:hAnsi="Verdana"/>
          <w:color w:val="000000"/>
          <w:sz w:val="18"/>
          <w:szCs w:val="18"/>
        </w:rPr>
        <w:t> </w:t>
      </w:r>
      <w:r>
        <w:rPr>
          <w:rFonts w:ascii="Verdana" w:hAnsi="Verdana"/>
          <w:color w:val="000000"/>
          <w:sz w:val="18"/>
          <w:szCs w:val="18"/>
        </w:rPr>
        <w:t>— Las acciones emanadas de las letras hipotecarias prescriben a los tres (3) años contados desde la fecha del vencimiento de cada cuota de capital o interés.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48.</w:t>
      </w:r>
      <w:r>
        <w:rPr>
          <w:rStyle w:val="apple-converted-space"/>
          <w:rFonts w:ascii="Verdana" w:hAnsi="Verdana"/>
          <w:color w:val="000000"/>
          <w:sz w:val="18"/>
          <w:szCs w:val="18"/>
        </w:rPr>
        <w:t> </w:t>
      </w:r>
      <w:r>
        <w:rPr>
          <w:rFonts w:ascii="Verdana" w:hAnsi="Verdana"/>
          <w:color w:val="000000"/>
          <w:sz w:val="18"/>
          <w:szCs w:val="18"/>
        </w:rPr>
        <w:t>— La cancelación de la inscripción de la emisión de las letras, y por ende de la hipoteca, se podrá hacer a pedido del deudor mediante la presentación de las letras y cupones en su caso con constancia de haberse efectuado todos los pagos de capital e intereses. El certificado extendido por el juez tendrá el mismo valor que las letras y/o cupones a los efectos de su presentación para la cancelación de la hipoteca.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49.</w:t>
      </w:r>
      <w:r>
        <w:rPr>
          <w:rStyle w:val="apple-converted-space"/>
          <w:rFonts w:ascii="Verdana" w:hAnsi="Verdana"/>
          <w:color w:val="000000"/>
          <w:sz w:val="18"/>
          <w:szCs w:val="18"/>
        </w:rPr>
        <w:t> </w:t>
      </w:r>
      <w:r>
        <w:rPr>
          <w:rFonts w:ascii="Verdana" w:hAnsi="Verdana"/>
          <w:color w:val="000000"/>
          <w:sz w:val="18"/>
          <w:szCs w:val="18"/>
        </w:rPr>
        <w:t>— Las personas autorizadas a hacer oferta pública como fiduciarios o a administrar fondos comunes de inversión, podrán emitir títulos de participación que tengan como garantía letras hipotecarias o constituir fondos comunes con ellos, conforme las disposiciones reglamentarias que se dicten.</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IV</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los créditos hipotecarios para la vivienda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50.</w:t>
      </w:r>
      <w:r>
        <w:rPr>
          <w:rStyle w:val="apple-converted-space"/>
          <w:rFonts w:ascii="Verdana" w:hAnsi="Verdana"/>
          <w:color w:val="000000"/>
          <w:sz w:val="18"/>
          <w:szCs w:val="18"/>
        </w:rPr>
        <w:t> </w:t>
      </w:r>
      <w:r>
        <w:rPr>
          <w:rFonts w:ascii="Verdana" w:hAnsi="Verdana"/>
          <w:color w:val="000000"/>
          <w:sz w:val="18"/>
          <w:szCs w:val="18"/>
        </w:rPr>
        <w:t>— En los créditos hipotecarios para la vivienda otorgados de conformidad con las disposiciones de esta ley, los gastos de escrituración por la traslación de dominio e hipoteca a cargo del cliente por todo concepto, excluidos los impuestos, e incluido el honorario profesional, no podrán superar el dos por ciento (2%) del precio de venta o la valuación del inmueble; cuando deba otorgarse hipoteca, el honorario podrá convenirse libremente. Los aportes a los regímenes de previsión para profesionales -si correspondiere- y otras contribuciones, exceptuadas las tasas retributivas de servicio de naturaleza local, serán proporcionales a los honorarios efectivamente percibidos por los profesionales intervinientes.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51.</w:t>
      </w:r>
      <w:r>
        <w:rPr>
          <w:rStyle w:val="apple-converted-space"/>
          <w:rFonts w:ascii="Verdana" w:hAnsi="Verdana"/>
          <w:color w:val="000000"/>
          <w:sz w:val="18"/>
          <w:szCs w:val="18"/>
        </w:rPr>
        <w:t> </w:t>
      </w:r>
      <w:r>
        <w:rPr>
          <w:rFonts w:ascii="Verdana" w:hAnsi="Verdana"/>
          <w:color w:val="000000"/>
          <w:sz w:val="18"/>
          <w:szCs w:val="18"/>
        </w:rPr>
        <w:t>— En los créditos hipotecarios para la vivienda el plazo se presume establecido en beneficio del deudor, salvo estipulación en contrario. Es inderogable por pacto en contrario la facultad del deudor de cancelar el crédito antes de su vencimiento cuando el pago fuere de la totalidad del capital adeudado, el contrato podrá prever una compensación razonable para el acreedor cuando la cancelación anticipada se hiciere antes de que hubiere cumplido la cuarta parte del plazo total estipulado.</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V</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Régimen especial de ejecución de hipotecas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Por art. 16 de la</w:t>
      </w:r>
      <w:r>
        <w:rPr>
          <w:rStyle w:val="apple-converted-space"/>
          <w:rFonts w:ascii="Verdana" w:hAnsi="Verdana"/>
          <w:i/>
          <w:iCs/>
          <w:color w:val="000000"/>
          <w:sz w:val="18"/>
          <w:szCs w:val="18"/>
        </w:rPr>
        <w:t> </w:t>
      </w:r>
      <w:hyperlink r:id="rId5" w:history="1">
        <w:r>
          <w:rPr>
            <w:rStyle w:val="Hipervnculo"/>
            <w:rFonts w:ascii="Verdana" w:hAnsi="Verdana"/>
            <w:i/>
            <w:iCs/>
            <w:sz w:val="18"/>
            <w:szCs w:val="18"/>
          </w:rPr>
          <w:t>Ley N° 25.563</w:t>
        </w:r>
      </w:hyperlink>
      <w:r>
        <w:rPr>
          <w:rStyle w:val="apple-converted-space"/>
          <w:rFonts w:ascii="Verdana" w:hAnsi="Verdana"/>
          <w:i/>
          <w:iCs/>
          <w:color w:val="000000"/>
          <w:sz w:val="18"/>
          <w:szCs w:val="18"/>
        </w:rPr>
        <w:t> </w:t>
      </w:r>
      <w:r>
        <w:rPr>
          <w:rFonts w:ascii="Verdana" w:hAnsi="Verdana"/>
          <w:i/>
          <w:iCs/>
          <w:color w:val="000000"/>
          <w:sz w:val="18"/>
          <w:szCs w:val="18"/>
        </w:rPr>
        <w:t>B.O. 15/2/2002 se establece lo siguiente: " Suspéndese por el plazo de ciento ochenta (180) días contados a partir de la vigencia de la presente, la totalidad de las ejecuciones judiciales o extrajudiciales, incluidas las hipotecarias y prendarias de cualquier origen que éstas sean, incluso las previstas en la presente Ley. Exceptúense de esta disposición los créditos de naturaleza alimentaria y los derivados de la responsabilidad de la comisión de delitos penales, los créditos laborales, los que no recaigan sobre la vivienda del deudor o sobre otros bienes afectados por el mismo a producción, comercio o prestación de servicios, los derivados de la responsabilidad civil y contra las empresas aseguradoras, las obligaciones surgidas con posterioridad a la entrada en vigencia de la ley de referencia y los casos en que hubiera comenzado a cumplirse la sentencia de quiebra, con la correspondiente liquidación de bienes.</w:t>
      </w:r>
    </w:p>
    <w:p w:rsidR="000F0552" w:rsidRDefault="000F0552" w:rsidP="000F0552">
      <w:pPr>
        <w:pStyle w:val="NormalWeb"/>
        <w:spacing w:before="150" w:beforeAutospacing="0" w:after="300" w:afterAutospacing="0"/>
        <w:ind w:left="600" w:right="600"/>
        <w:rPr>
          <w:rFonts w:ascii="Verdana" w:hAnsi="Verdana"/>
          <w:i/>
          <w:iCs/>
          <w:color w:val="000000"/>
          <w:sz w:val="18"/>
          <w:szCs w:val="18"/>
        </w:rPr>
      </w:pPr>
      <w:r>
        <w:rPr>
          <w:rFonts w:ascii="Verdana" w:hAnsi="Verdana"/>
          <w:i/>
          <w:iCs/>
          <w:color w:val="000000"/>
          <w:sz w:val="18"/>
          <w:szCs w:val="18"/>
        </w:rPr>
        <w:t>Suspéndese por el plazo de ciento ochenta (180) días las medidas cautelares trabadas y prohíbese por el mismo plazo las nuevas medidas cautelares sobre aquellos bienes que resulten indispensables para la continuidad de las actividades relacionadas con el giro habitual del deudor".)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52.</w:t>
      </w:r>
      <w:r>
        <w:rPr>
          <w:rStyle w:val="apple-converted-space"/>
          <w:rFonts w:ascii="Verdana" w:hAnsi="Verdana"/>
          <w:color w:val="000000"/>
          <w:sz w:val="18"/>
          <w:szCs w:val="18"/>
        </w:rPr>
        <w:t> </w:t>
      </w:r>
      <w:r>
        <w:rPr>
          <w:rFonts w:ascii="Verdana" w:hAnsi="Verdana"/>
          <w:color w:val="000000"/>
          <w:sz w:val="18"/>
          <w:szCs w:val="18"/>
        </w:rPr>
        <w:t>— Las hipotecas en las cuales se hayan emitido letras hipotecarias con la constancia prevista en el artículo 45, y todas aquellas en que se hubiere convenido expresamente someterse a las disposiciones de este título, podrán ejecutarse conforme las reglas siguientes.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53.</w:t>
      </w:r>
      <w:r>
        <w:rPr>
          <w:rStyle w:val="apple-converted-space"/>
          <w:rFonts w:ascii="Verdana" w:hAnsi="Verdana"/>
          <w:color w:val="000000"/>
          <w:sz w:val="18"/>
          <w:szCs w:val="18"/>
        </w:rPr>
        <w:t> </w:t>
      </w:r>
      <w:r>
        <w:rPr>
          <w:rFonts w:ascii="Verdana" w:hAnsi="Verdana"/>
          <w:color w:val="000000"/>
          <w:sz w:val="18"/>
          <w:szCs w:val="18"/>
        </w:rPr>
        <w:t>— En caso de mora en el pago del servicio de amortización o intereses de deuda garantizada por un plazo de sesenta (60) días, el acreedor intimará por medio fehaciente para que se pague en un plazo no menor de quince (15) días, advirtiendo al deudor que, de no mediar pago íntegro de la suma intimada, el inmueble será rematado por la vía extrajudicial. En el mismo acto, se le intimará a denunciar el nombre y domicilio de los acreedores privilegiados, embargantes y ocupantes del inmueble hipotecado.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54.</w:t>
      </w:r>
      <w:r>
        <w:rPr>
          <w:rStyle w:val="apple-converted-space"/>
          <w:rFonts w:ascii="Verdana" w:hAnsi="Verdana"/>
          <w:color w:val="000000"/>
          <w:sz w:val="18"/>
          <w:szCs w:val="18"/>
        </w:rPr>
        <w:t> </w:t>
      </w:r>
      <w:r>
        <w:rPr>
          <w:rFonts w:ascii="Verdana" w:hAnsi="Verdana"/>
          <w:color w:val="000000"/>
          <w:sz w:val="18"/>
          <w:szCs w:val="18"/>
        </w:rPr>
        <w:t>— Vencido el plazo de la intimación sin que se hubiera hecho efectivo el pago, el acreedor podrá presentarse ante el juez competente con la letra hipotecaria o los cupones exigibles si éstos hubiesen circulado, y un certificado de dominio del bien gravado, a efectos de verificar el estado de ocupación del inmueble y obtener el acreedor, si así lo solicita, la tenencia del mismo. El juez dará traslado de la presentación por cinco (5) días al deudor a los efectos de las excepciones previstas en el artículo 64. El juez ordenará verificar el estado físico y de ocupación, designando a tal fin al escribano que proponga el acreedor. Si de esa diligencia resulta que el inmueble se encuentra ocupado, en el mismo acto se intimará a su desocupación en el plazo de diez (10) días, bajo apercibimiento de lanzamiento por la fuerza pública. El lanzamiento no podrá suspenderse, salvo lo dispuesto en el artículo 64.</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No verificada en ese plazo la desocupación, sin más trámite se procederá al lanzamiento y se entregará la tenencia al acreedor, hasta la oportunidad prevista en el artículo 63. A estos fines, el escribano actuante podrá requerir el auxilio de la fuerza pública, allanar domicilio y violentar cerraduras y poner en depósito oneroso los bienes que se encuentren en el inmueble, a costa del deudor. Todo este procedimiento tramitará in audita parte, y será de aplicación supletoria lo establecido en los códigos de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55.</w:t>
      </w:r>
      <w:r>
        <w:rPr>
          <w:rStyle w:val="apple-converted-space"/>
          <w:rFonts w:ascii="Verdana" w:hAnsi="Verdana"/>
          <w:color w:val="000000"/>
          <w:sz w:val="18"/>
          <w:szCs w:val="18"/>
        </w:rPr>
        <w:t> </w:t>
      </w:r>
      <w:r>
        <w:rPr>
          <w:rFonts w:ascii="Verdana" w:hAnsi="Verdana"/>
          <w:color w:val="000000"/>
          <w:sz w:val="18"/>
          <w:szCs w:val="18"/>
        </w:rPr>
        <w:t>— El acreedor estará facultado para solicitar directamente al Registro de la Propiedad un informe sobre el estado del dominio y gravámenes que afectaren el inmueble hipotecado, con indicación del importe de los créditos, sus titulares y domicilios.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56.</w:t>
      </w:r>
      <w:r>
        <w:rPr>
          <w:rStyle w:val="apple-converted-space"/>
          <w:rFonts w:ascii="Verdana" w:hAnsi="Verdana"/>
          <w:color w:val="000000"/>
          <w:sz w:val="18"/>
          <w:szCs w:val="18"/>
        </w:rPr>
        <w:t> </w:t>
      </w:r>
      <w:r>
        <w:rPr>
          <w:rFonts w:ascii="Verdana" w:hAnsi="Verdana"/>
          <w:color w:val="000000"/>
          <w:sz w:val="18"/>
          <w:szCs w:val="18"/>
        </w:rPr>
        <w:t>— Asimismo el acreedor podrá:</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Solicitar directamente en el registro correspondiente la expedición de un segundo testimonio del título de propiedad del inmueble, con la sola acreditación de ese carácter y a costa del ejecutado;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Requerir la liquidación de las deudas que existan en concepto de expensas de la propiedad horizontal, impuestos, tasas y contribuciones que pesen sobre el inmueble, bajo apercibimiento que de no contarse con dichas liquidaciones en el plazo de diez (10) días hábiles desde la recepción de su solicitud, se podrá subastar el bien como si estuviera libre de deudas. Los reclamos que se dedujeran por aplicación de lo dispuesto anteriormente no afectarán el trámite de remate del bien gravado.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57.</w:t>
      </w:r>
      <w:r>
        <w:rPr>
          <w:rStyle w:val="apple-converted-space"/>
          <w:rFonts w:ascii="Verdana" w:hAnsi="Verdana"/>
          <w:color w:val="000000"/>
          <w:sz w:val="18"/>
          <w:szCs w:val="18"/>
        </w:rPr>
        <w:t> </w:t>
      </w:r>
      <w:r>
        <w:rPr>
          <w:rFonts w:ascii="Verdana" w:hAnsi="Verdana"/>
          <w:color w:val="000000"/>
          <w:sz w:val="18"/>
          <w:szCs w:val="18"/>
        </w:rPr>
        <w:t>— Verificado el estado del inmueble, el acreedor ordenará por sí, sin intervención judicial, la venta en remate público del inmueble afectado a la garantía, por intermedio del martillero que designe y con las condiciones usuales de plaza. Se deberán publicar avisos durante tres (3) días en el diario oficial y en dos (2) diarios de gran circulación, uno al menos en el lugar de ubicación del inmueble. El último aviso deberá realizarse con una anticipación no mayor de dos (2) días a la fecha fijada para el remate. En el remate estará presente el escribano quien levantará acta.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58.</w:t>
      </w:r>
      <w:r>
        <w:rPr>
          <w:rStyle w:val="apple-converted-space"/>
          <w:rFonts w:ascii="Verdana" w:hAnsi="Verdana"/>
          <w:color w:val="000000"/>
          <w:sz w:val="18"/>
          <w:szCs w:val="18"/>
        </w:rPr>
        <w:t> </w:t>
      </w:r>
      <w:r>
        <w:rPr>
          <w:rFonts w:ascii="Verdana" w:hAnsi="Verdana"/>
          <w:color w:val="000000"/>
          <w:sz w:val="18"/>
          <w:szCs w:val="18"/>
        </w:rPr>
        <w:t>— La base de la subasta será el monto de la deuda a la fecha de procederse a la venta y los avisos deberán —como mínimo— informar sobre la superficie cubierta, ubicación del inmueble, horario de visitas, estado de la deuda por tasas, impuestos, contribuciones y expensas, día, hora y lugar preciso de realización de la subasta.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59.</w:t>
      </w:r>
      <w:r>
        <w:rPr>
          <w:rStyle w:val="apple-converted-space"/>
          <w:rFonts w:ascii="Verdana" w:hAnsi="Verdana"/>
          <w:color w:val="000000"/>
          <w:sz w:val="18"/>
          <w:szCs w:val="18"/>
        </w:rPr>
        <w:t> </w:t>
      </w:r>
      <w:r>
        <w:rPr>
          <w:rFonts w:ascii="Verdana" w:hAnsi="Verdana"/>
          <w:color w:val="000000"/>
          <w:sz w:val="18"/>
          <w:szCs w:val="18"/>
        </w:rPr>
        <w:t>— El deudor, el propietario y los demás titulares de derechos reales sobre la cosa hipotecada deberán ser notificados de la fecha de la subasta por medio fehaciente con siete (7) días hábiles de anticipación, excluido el día de la subasta.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60.</w:t>
      </w:r>
      <w:r>
        <w:rPr>
          <w:rStyle w:val="apple-converted-space"/>
          <w:rFonts w:ascii="Verdana" w:hAnsi="Verdana"/>
          <w:color w:val="000000"/>
          <w:sz w:val="18"/>
          <w:szCs w:val="18"/>
        </w:rPr>
        <w:t> </w:t>
      </w:r>
      <w:r>
        <w:rPr>
          <w:rFonts w:ascii="Verdana" w:hAnsi="Verdana"/>
          <w:color w:val="000000"/>
          <w:sz w:val="18"/>
          <w:szCs w:val="18"/>
        </w:rPr>
        <w:t>— Realizada la subasta, el acreedor practicará liquidación de lo adeudado según el respectivo contrato y las pautas anteriormente dispuestas, más los gastos correspondientes a la ejecución, los que por todo concepto no podrán superar el tres por ciento (3%) del crédito. Procederá a depositar el remanente del precio a la orden del juez competente junto con la correspondiente rendición de cuentas documentada dentro de los cinco (5) días siguientes. El juez dará traslado al deudor de la citada presentación de la acreedora por el término de cinco (5) días a los efectos de la impugnación o aceptación de la liquidación. De no mediar embargos, inhibiciones u otros créditos, y existiendo conformidad entre deudor y acreedor con respecto al remanente, éste podrá entregar directamente a aquél dicho remanente.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61.</w:t>
      </w:r>
      <w:r>
        <w:rPr>
          <w:rStyle w:val="apple-converted-space"/>
          <w:rFonts w:ascii="Verdana" w:hAnsi="Verdana"/>
          <w:color w:val="000000"/>
          <w:sz w:val="18"/>
          <w:szCs w:val="18"/>
        </w:rPr>
        <w:t> </w:t>
      </w:r>
      <w:r>
        <w:rPr>
          <w:rFonts w:ascii="Verdana" w:hAnsi="Verdana"/>
          <w:color w:val="000000"/>
          <w:sz w:val="18"/>
          <w:szCs w:val="18"/>
        </w:rPr>
        <w:t>— Si fracasare el remate por falta de postores, se dispondrá otro reduciendo la base en un veinticinco por ciento (25%). Si tampoco existieren postores se ordenará la venta sin limitación de precio y al mejor postor. No se procederá al cobro de suma alguna en concepto de honorarios por los remates fracasados. Si resultare adquirente el acreedor hipotecario procederá a compensar su crédito.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62.</w:t>
      </w:r>
      <w:r>
        <w:rPr>
          <w:rStyle w:val="apple-converted-space"/>
          <w:rFonts w:ascii="Verdana" w:hAnsi="Verdana"/>
          <w:color w:val="000000"/>
          <w:sz w:val="18"/>
          <w:szCs w:val="18"/>
        </w:rPr>
        <w:t> </w:t>
      </w:r>
      <w:r>
        <w:rPr>
          <w:rFonts w:ascii="Verdana" w:hAnsi="Verdana"/>
          <w:color w:val="000000"/>
          <w:sz w:val="18"/>
          <w:szCs w:val="18"/>
        </w:rPr>
        <w:t>— Cuando el comprador no abonare la totalidad del precio en tiempo, se efectuará nuevo remate. Aquél será responsable de la disminución real del precio que se obtuviere en la nueva subasta, de los intereses acrecidos y de los gastos ocasionados.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63.</w:t>
      </w:r>
      <w:r>
        <w:rPr>
          <w:rStyle w:val="apple-converted-space"/>
          <w:rFonts w:ascii="Verdana" w:hAnsi="Verdana"/>
          <w:color w:val="000000"/>
          <w:sz w:val="18"/>
          <w:szCs w:val="18"/>
        </w:rPr>
        <w:t> </w:t>
      </w:r>
      <w:r>
        <w:rPr>
          <w:rFonts w:ascii="Verdana" w:hAnsi="Verdana"/>
          <w:color w:val="000000"/>
          <w:sz w:val="18"/>
          <w:szCs w:val="18"/>
        </w:rPr>
        <w:t>— La venta quedará perfeccionada, sin perjuicio de lo dispuesto por el artículo 66, una vez pagado el precio en el plazo que se haya estipulado y hecha la tradición a favor del comprador, y será oponible a terceros realizada que fuere la inscripción registral correspondiente. El pago se hará directamente al acreedor cuando éste sea titular de la totalidad del crédito.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remanente será depositado dentro del quinto día de realizado el cobro.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 hubiere más de un acreedor el pago se hará al martillero interviniente, quien descontará su comisión y depositará el saldo a la orden del Juez para que éste cite a todos los acreedores para distribuir la suma obtenida.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 el acreedor ostenta la tenencia del inmueble subastado, podrá transmitirla directamente al comprador; caso contrario y no habiendo mediado desposesión anticipada deberá ser realizada con intervención del juez, aplicándose en lo pertinente el artículo 54. La protocolización de las actuaciones será extendida por intermedio del escribano designado por el acreedor, sin que sea necesaria la comparecencia del ejecutado, y deberá contener constancia de: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intimación al deudor en los términos del artículo 53;</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notificación del artículo 59;</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 publicidad efectuada;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d) El acta de la subasta.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documentos correspondientes serán agregados al protocolo.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embargos e inhibiciones se levantarán por el juez interviniente con citación de los jueces que han trabado las medidas cautelares, conforme a las normas de procedimiento de la jurisdicción.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64.</w:t>
      </w:r>
      <w:r>
        <w:rPr>
          <w:rStyle w:val="apple-converted-space"/>
          <w:rFonts w:ascii="Verdana" w:hAnsi="Verdana"/>
          <w:color w:val="000000"/>
          <w:sz w:val="18"/>
          <w:szCs w:val="18"/>
        </w:rPr>
        <w:t> </w:t>
      </w:r>
      <w:r>
        <w:rPr>
          <w:rFonts w:ascii="Verdana" w:hAnsi="Verdana"/>
          <w:color w:val="000000"/>
          <w:sz w:val="18"/>
          <w:szCs w:val="18"/>
        </w:rPr>
        <w:t>— El ejecutado no podrá interponer defensas, incidente o recurso alguno tendiente a interrumpir el lanzamiento previsto por el artículo 54 ni la subasta, salvo que acreditare verosímilmente alguno de los siguientes supuestos: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Que no está en mora;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Que no ha sido intimado de pago;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Que no se hubiera pactado la vía elegida; 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Que existieran vicios graves en la publicidad.</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tales casos el juez competente ordenará la suspensión cautelar del lanzamiento o de la subasta.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 el acreedor controvierte las afirmaciones del ejecutado, la cuestión se sustanciará por el procedimiento más abreviado que consienta la ley local. Si por el contrario reconociese la existencia de los supuestos invocados por el ejecutado, el juez, dejará sin efecto lo actuado por el acreedor y dispondrá el archivo de las actuaciones salvo en el caso del inciso d), hipótesis en la cual determinará la publicidad que habrá que llevarse a cabo antes de la subasta.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65.</w:t>
      </w:r>
      <w:r>
        <w:rPr>
          <w:rStyle w:val="apple-converted-space"/>
          <w:rFonts w:ascii="Verdana" w:hAnsi="Verdana"/>
          <w:color w:val="000000"/>
          <w:sz w:val="18"/>
          <w:szCs w:val="18"/>
        </w:rPr>
        <w:t> </w:t>
      </w:r>
      <w:r>
        <w:rPr>
          <w:rFonts w:ascii="Verdana" w:hAnsi="Verdana"/>
          <w:color w:val="000000"/>
          <w:sz w:val="18"/>
          <w:szCs w:val="18"/>
        </w:rPr>
        <w:t>— Una vez realizada la subasta y cancelado el crédito ejecutado, el deudor podrá impugnar por la vía judicial, por el procedimiento más abreviado que solicite el deudor: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no concurrencia de los hechos que habilitan la venta;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liquidación practicada por el acreedor;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El incumplimiento de los recaudos establecidos en el presente título por parte del ejecutante.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todos los casos el acreedor deberá indemnizar los daños causados, sin perjuicio de las sanciones penales y administrativas a que se hiciere pasible.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66.</w:t>
      </w:r>
      <w:r>
        <w:rPr>
          <w:rStyle w:val="apple-converted-space"/>
          <w:rFonts w:ascii="Verdana" w:hAnsi="Verdana"/>
          <w:color w:val="000000"/>
          <w:sz w:val="18"/>
          <w:szCs w:val="18"/>
        </w:rPr>
        <w:t> </w:t>
      </w:r>
      <w:r>
        <w:rPr>
          <w:rFonts w:ascii="Verdana" w:hAnsi="Verdana"/>
          <w:color w:val="000000"/>
          <w:sz w:val="18"/>
          <w:szCs w:val="18"/>
        </w:rPr>
        <w:t>— Dentro de los treinta (30) días corridos de efectuada la ejecución extrajudicial, el deudor podrá recuperar la propiedad del inmueble si pagara al adquirente el precio obtenido en la subasta, más el tres por ciento (3%) previsto en el artículo 60.</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67.</w:t>
      </w:r>
      <w:r>
        <w:rPr>
          <w:rStyle w:val="apple-converted-space"/>
          <w:rFonts w:ascii="Verdana" w:hAnsi="Verdana"/>
          <w:color w:val="000000"/>
          <w:sz w:val="18"/>
          <w:szCs w:val="18"/>
        </w:rPr>
        <w:t> </w:t>
      </w:r>
      <w:r>
        <w:rPr>
          <w:rFonts w:ascii="Verdana" w:hAnsi="Verdana"/>
          <w:color w:val="000000"/>
          <w:sz w:val="18"/>
          <w:szCs w:val="18"/>
        </w:rPr>
        <w:t>— Si el precio obtenido en la subasta no cubriera la totalidad del crédito garantizado con la hipoteca, el acreedor practicará liquidación ante el juez competente por el proceso de conocimiento más breve que prevé la legislación local. La liquidación se sustanciará con el deudor, quien podrá pedir la reducción equitativa del saldo que permaneciere insatisfecho después de la subasta, cuando el precio obtenido en ella fuera sustancialmente inferior al de plaza, teniendo en cuenta las condiciones de ocupación y mantenimiento del inmueble.</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lastRenderedPageBreak/>
        <w:t>TITULO VI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Reformas al Código Civil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68.</w:t>
      </w:r>
      <w:r>
        <w:rPr>
          <w:rStyle w:val="apple-converted-space"/>
          <w:rFonts w:ascii="Verdana" w:hAnsi="Verdana"/>
          <w:color w:val="000000"/>
          <w:sz w:val="18"/>
          <w:szCs w:val="18"/>
        </w:rPr>
        <w:t> </w:t>
      </w:r>
      <w:r>
        <w:rPr>
          <w:rFonts w:ascii="Verdana" w:hAnsi="Verdana"/>
          <w:color w:val="000000"/>
          <w:sz w:val="18"/>
          <w:szCs w:val="18"/>
        </w:rPr>
        <w:t>— Incorpórase como párrafo final del articulo 980 del Código Civil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instrumentos públicos extendidos de acuerdo a lo que establece este código gozan de entera fe y producen idénticos efectos en todo el territorio de la República Argentina, cualquiera sea la jurisdicción donde se hubieren otorgado.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69.</w:t>
      </w:r>
      <w:r>
        <w:rPr>
          <w:rStyle w:val="apple-converted-space"/>
          <w:rFonts w:ascii="Verdana" w:hAnsi="Verdana"/>
          <w:color w:val="000000"/>
          <w:sz w:val="18"/>
          <w:szCs w:val="18"/>
        </w:rPr>
        <w:t> </w:t>
      </w:r>
      <w:r>
        <w:rPr>
          <w:rFonts w:ascii="Verdana" w:hAnsi="Verdana"/>
          <w:color w:val="000000"/>
          <w:sz w:val="18"/>
          <w:szCs w:val="18"/>
        </w:rPr>
        <w:t>— Incorpórase como párrafo final del articulo 997 del Código Civil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un acto fuere otorgado en un territorio para producir efectos en otro, las leyes locales no podrán imponer cargas tributarias ni tasas retributivas que establezcan diferencias de tratamiento, fundadas en el domicilio de las partes, en lugar del cumplimiento de las obligaciones o en el funcionario interviniente.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70.</w:t>
      </w:r>
      <w:r>
        <w:rPr>
          <w:rStyle w:val="apple-converted-space"/>
          <w:rFonts w:ascii="Verdana" w:hAnsi="Verdana"/>
          <w:color w:val="000000"/>
          <w:sz w:val="18"/>
          <w:szCs w:val="18"/>
        </w:rPr>
        <w:t> </w:t>
      </w:r>
      <w:r>
        <w:rPr>
          <w:rFonts w:ascii="Verdana" w:hAnsi="Verdana"/>
          <w:color w:val="000000"/>
          <w:sz w:val="18"/>
          <w:szCs w:val="18"/>
        </w:rPr>
        <w:t>— Se aplicarán las normas de este artículo y las de los artículos 71 y 72, cuando se cedan derechos como componentes de una cartera de créditos, para: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Garantizar la emisión de títulos valores mediante oferta pública;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Constituir el activo de una sociedad, con el objeto de que ésta emita títulos valores ofertables públicamente y cuyos servicios de amortización e intereses estén garantizados con dicho activo;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Constituir el patrimonio de un fondo común de créditos.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71.</w:t>
      </w:r>
      <w:r>
        <w:rPr>
          <w:rStyle w:val="apple-converted-space"/>
          <w:rFonts w:ascii="Verdana" w:hAnsi="Verdana"/>
          <w:color w:val="000000"/>
          <w:sz w:val="18"/>
          <w:szCs w:val="18"/>
        </w:rPr>
        <w:t> </w:t>
      </w:r>
      <w:r>
        <w:rPr>
          <w:rFonts w:ascii="Verdana" w:hAnsi="Verdana"/>
          <w:color w:val="000000"/>
          <w:sz w:val="18"/>
          <w:szCs w:val="18"/>
        </w:rPr>
        <w:t>— La cesión prevista en el artículo anterior podrá efectuarse por un único acto, individualizándose cada crédito con expresión de su monto, plazos, intereses y garantías. En su caso, se inscribirá en los registros pertinentes.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documentos probatorios del derecho cedido se entregarán al cesionario o fiduciario o, en su caso, a un depositario o al depositario del fondo común de créditos.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72.</w:t>
      </w:r>
      <w:r>
        <w:rPr>
          <w:rStyle w:val="apple-converted-space"/>
          <w:rFonts w:ascii="Verdana" w:hAnsi="Verdana"/>
          <w:color w:val="000000"/>
          <w:sz w:val="18"/>
          <w:szCs w:val="18"/>
        </w:rPr>
        <w:t> </w:t>
      </w:r>
      <w:r>
        <w:rPr>
          <w:rFonts w:ascii="Verdana" w:hAnsi="Verdana"/>
          <w:color w:val="000000"/>
          <w:sz w:val="18"/>
          <w:szCs w:val="18"/>
        </w:rPr>
        <w:t>— En los casos previstos por el artículo 70:</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No es necesaria la notificación al deudor cedido siempre que exista previsión contractual en el sentido. La cesión será válida desde su fecha;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Sólo subsistirán contra el cesionario la excepción fundada en la invalidez de la relación crediticia o el pago documentado anterior a la fecha de cesión;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Cuando se trate de una entidad financiera que emita títulos garantizados por una cartera de valores mobiliarios que permanezcan depositados en ella, la entidad será el propietario fiduciario de los activos. Sin embargo los créditos en ningún caso integrarán su patrimonio.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73.</w:t>
      </w:r>
      <w:r>
        <w:rPr>
          <w:rStyle w:val="apple-converted-space"/>
          <w:rFonts w:ascii="Verdana" w:hAnsi="Verdana"/>
          <w:color w:val="000000"/>
          <w:sz w:val="18"/>
          <w:szCs w:val="18"/>
        </w:rPr>
        <w:t> </w:t>
      </w:r>
      <w:r>
        <w:rPr>
          <w:rFonts w:ascii="Verdana" w:hAnsi="Verdana"/>
          <w:color w:val="000000"/>
          <w:sz w:val="18"/>
          <w:szCs w:val="18"/>
        </w:rPr>
        <w:t>— Sustitúyese el articulo 2662 del Código Civil por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Articulo 2662: Dominio fiduciario es el que se adquiere con razón de un fideicomiso constituido por contrato o por testamento, y está sometido a durar </w:t>
      </w:r>
      <w:r>
        <w:rPr>
          <w:rFonts w:ascii="Verdana" w:hAnsi="Verdana"/>
          <w:color w:val="000000"/>
          <w:sz w:val="18"/>
          <w:szCs w:val="18"/>
        </w:rPr>
        <w:lastRenderedPageBreak/>
        <w:t>solamente hasta la extinción del fideicomiso, para el efecto de entregar la cosa a quien corresponda según el contrato, el testamento o la ley.</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74.</w:t>
      </w:r>
      <w:r>
        <w:rPr>
          <w:rStyle w:val="apple-converted-space"/>
          <w:rFonts w:ascii="Verdana" w:hAnsi="Verdana"/>
          <w:color w:val="000000"/>
          <w:sz w:val="18"/>
          <w:szCs w:val="18"/>
        </w:rPr>
        <w:t> </w:t>
      </w:r>
      <w:r>
        <w:rPr>
          <w:rFonts w:ascii="Verdana" w:hAnsi="Verdana"/>
          <w:color w:val="000000"/>
          <w:sz w:val="18"/>
          <w:szCs w:val="18"/>
        </w:rPr>
        <w:t>— Agrégase, como segundo párrafo del articulo 2670 del Código Civil,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Quedan a salvo los actos de disposición realizados por el fiduciario de conformidad con lo previsto en la legislación especial.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75.</w:t>
      </w:r>
      <w:r>
        <w:rPr>
          <w:rStyle w:val="apple-converted-space"/>
          <w:rFonts w:ascii="Verdana" w:hAnsi="Verdana"/>
          <w:color w:val="000000"/>
          <w:sz w:val="18"/>
          <w:szCs w:val="18"/>
        </w:rPr>
        <w:t> </w:t>
      </w:r>
      <w:r>
        <w:rPr>
          <w:rFonts w:ascii="Verdana" w:hAnsi="Verdana"/>
          <w:color w:val="000000"/>
          <w:sz w:val="18"/>
          <w:szCs w:val="18"/>
        </w:rPr>
        <w:t>— Agregase como segundo párrafo del articulo 3936 del Código Civil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Las legislaciones locales dispondrán el régimen procesal de la ejecución judicial de la garantía hipotecaria, conforme a las siguientes pautas: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procedimiento será el del juicio ejecutivo;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trámite informativo sobre las condiciones de dominio y sobre impuestos, tasas, contribuciones y expensas podrá tramitarse de manera extrajudicial, y el estado de ocupación podrá constatarse por acta notarial;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No procederá la compra en comisión;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En ningún caso podrá declararse la indisponibilidad de los fondos producidos en el remate, si bien el juez podrá exigir caución suficiente al acreedor;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Si fuera solicitado por el acreedor, el juez decretará el desalojo del inmueble antes del remate.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76.</w:t>
      </w:r>
      <w:r>
        <w:rPr>
          <w:rStyle w:val="apple-converted-space"/>
          <w:rFonts w:ascii="Verdana" w:hAnsi="Verdana"/>
          <w:color w:val="000000"/>
          <w:sz w:val="18"/>
          <w:szCs w:val="18"/>
        </w:rPr>
        <w:t> </w:t>
      </w:r>
      <w:r>
        <w:rPr>
          <w:rFonts w:ascii="Verdana" w:hAnsi="Verdana"/>
          <w:color w:val="000000"/>
          <w:sz w:val="18"/>
          <w:szCs w:val="18"/>
        </w:rPr>
        <w:t>— Agrégase como último párrafo del articulo 3876 del Código Civil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Puede convenirse la postergación de los derechos del acreedor hasta el pago total o parcial de otras deudas presentes o futuras del deudor.</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VII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al régimen de corretaje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77.</w:t>
      </w:r>
      <w:r>
        <w:rPr>
          <w:rStyle w:val="apple-converted-space"/>
          <w:rFonts w:ascii="Verdana" w:hAnsi="Verdana"/>
          <w:color w:val="000000"/>
          <w:sz w:val="18"/>
          <w:szCs w:val="18"/>
        </w:rPr>
        <w:t> </w:t>
      </w:r>
      <w:r>
        <w:rPr>
          <w:rFonts w:ascii="Verdana" w:hAnsi="Verdana"/>
          <w:color w:val="000000"/>
          <w:sz w:val="18"/>
          <w:szCs w:val="18"/>
        </w:rPr>
        <w:t>— Para la matriculación y el desempeño del corredor no será exigible el hallarse domiciliado en el lugar donde se pretende ejercer.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los casos de corretaje inmobiliario de viviendas nuevas sólo se recibirá comisión del comitente. En las restantes operaciones la comisión al comprador no podrá exceder el 1 1/2 del valor de compra.</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VIII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 la Ley de Fondos Comunes de Inversión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78.</w:t>
      </w:r>
      <w:r>
        <w:rPr>
          <w:rStyle w:val="apple-converted-space"/>
          <w:rFonts w:ascii="Verdana" w:hAnsi="Verdana"/>
          <w:color w:val="000000"/>
          <w:sz w:val="18"/>
          <w:szCs w:val="18"/>
        </w:rPr>
        <w:t> </w:t>
      </w:r>
      <w:r>
        <w:rPr>
          <w:rFonts w:ascii="Verdana" w:hAnsi="Verdana"/>
          <w:color w:val="000000"/>
          <w:sz w:val="18"/>
          <w:szCs w:val="18"/>
        </w:rPr>
        <w:t>— Modifícase la Ley 24.083,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Incorpóranse dos párrafos finales al articulo 1º, el que queda redactado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Artículo 1º: Se considera fondo común de inversión al patrimonio integrado por valores mobiliarios con oferta pública, metales preciosos, divisas, derechos y obligaciones derivados de operaciones de futuros y opciones, instrumentos emitidos por entidades financieras autorizadas por el Banco Central de la República Argentina, y dinero, perteneciente a diversas personas a las cuales se las reconocen derechos de copropiedad representados por cuotapartes cartulares o escriturales. Estos fondos no constituyen sociedades y carecen de personería jurídica.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fondos comunes se constituyen con una cantidad máxima de cuotapartes de acuerdo con el artículo 21 de esta ley, podrán tener objetos especiales de inversión e integrar su patrimonio con conjuntos homogéneos o análogos de bienes reales o personales, o derechos creditorios con garantías reales o sin ellas de acuerdo con lo que disponga la reglamentación del órgano de fiscalización previsto en el articulo 32 de esta ley.</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fondos comunes de inversión podrán emitir distintas clases de cuotapartes con diferentes derechos. Las cuotapartes podrán dar derechos de copropiedad de acuerdo con lo previsto en el primer párrafo de este articulo y también podrán emitirse cuotapartes de renta con valor nominal determinado y una renta calculada sobre dicho valor cuyo pago será sujeto al rendimiento de los bienes que integren el haber del fondo.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Sustitúyese el articulo 2º por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Articulo 2: La denominación fondo común de inversión así como las análogas que determinen la reglamentación podrán utilizarse únicamente para los que se organicen conforme a las prescripciones de la presente ley, debiendo agregar la designación que les permita diferenciarse entre sí. La denominación fondo común de inversión inmobiliario así como las análogas que determine la reglamentación solo podrán ser utilizadas por aquellos fondos comunes de inversión con una cantidad máxima de cuotapartes cuyo patrimonio se hallare integrado, además de por los bienes previstos en el párrafo primero del artículo 1º de esta ley, por derechos sobre inmuebles, créditos hipotecarios en primero o ulterior grado y derechos de anticresis constituidos sobre inmuebles en las proporciones que establece en la reglamentación.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Modifícase el inciso a) del artículo 13, el que quedará redactado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Artículo 13: El Reglamento de Gestión debe especificar: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Planes que se adoptan para la inversión del patrimonio del fondo, especificando los objetivos a alcanzar, las limitaciones a las inversiones por tipo de activo y, de incluir créditos, la naturaleza de los mismos y la existencia o no de coberturas contra el riesgo de incumplimiento.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Modifícase el inciso c) del articulo 14, el que queda redactado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 guardia y el deposito de valores y demás instrumentos representativos de las inversiones, pago y cobro de los beneficios devengados, así como el producto de la compraventa de valores y cualquiera otra operación inherente a estas actividades. Los valores podrán ser depositados en una caja constituida según lo dispone la ley 20.643.</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Incorporase como inciso e) del articulo 14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En los casos de fondos comunes de inversión inmobiliaria: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I. Actuar como fiduciario, en los términos del articulo 2662 del Código Civil respecto de los inmuebles, derechos de anticresis y créditos hipotecarios, en beneficio de los cuotapartistas y conforme a las instrucciones de la sociedad gerente. Esta última deberá prestar su asentimiento expreso en todo acto de adquisición o disposición de los bienes antes indicados.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II. Realizar respecto de los bienes inmuebles todos los actos de administración que sean necesarios para su conservación, venta, hipoteca o constitución de otros derechos reales, arrendamiento o leasing conforme a las instrucciones que imparta la sociedad gerente. El reglamento de gestión podrá asignar esas tareas directamente a la sociedad gerente, sin necesidad de ningún otro instrumento.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III. Custodiar los demás bienes que integran el fondo común.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IV. Llevar por sí a través de una caja constituida según la ley 20.643, el registro de cuotaparte escriturales o nominativas y expedir las constancias que soliciten los cuotapartistas.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Sustituyese el articulo 17 el que quedara redactado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Articulo 17: el dinero en efectivo no invertido perteneciente al fondo, debe depositarse en entidades financieras autorizadas por el Banco Central de la República Argentina, o para el caso de los depósitos y otras transacciones en moneda extranjera que fueran necesarias para las operaciones de los fondos comunes en mercados del exterior en las entidades financieras internacionales que reúnan las condiciones que determine la reglamentación.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Incorporase un párrafo final al articulo 18, el que quedara redactado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Articulo 18: Las cuotapartes emitidas por el fondo común de inversiones estarán representadas por certificados de copropiedad nominativos o al portador, en los cuales se dejara constancia de los derechos del titular de las copropiedad y deberán ser firmados por los representantes de ambos órganos del fondo. Las firmas podrán ser estampadas por medios mecánicos copiadores. Prodrán emitirse cuotapartes escriturales, estando a cargo de la depositaria el registro de cuotapartistas. Un mismo certificado podrá representar uno o más cuotapartes. La emisión de cuotapartes debe expedirse contra el pago total del precio de suscripción, no admitiéndose pagos parciales.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Los fondos cerrados podrán emitir certificados globales para su deposito en regímenes de deposito colectivo.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h)Agregase como ultimo párrafo del articulo 21 los siguientes: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reglamento de gestión puede prever que al menos un (1) año antes de la expiración del plazo por el que se constituyo el fondo, una asamblea de cuotapartistas resuelva su prórroga. Los cuotapartistas disconformes con lo dispuesto por la asamblea, podrán solicitar el rescate de su cuotapartes, a las que se les integrara el valor de su participación en el termino máximo de un (1) año.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asamblea de cuotapartistas se aplicaran las disposiciones de la ley 19.550 de sociedades comerciales relativas a la asamblea extraordinaria.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Agréganse como segundo, tercero y cuarto párrafo del artículo 25 de la Ley 24.083, los siguientes: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Las cuotapartes y cuotapartes de renta de los fondos comunes de inversión, serán objeto del siguiente tratamiento impositivo: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Quedan exentas del impuesto al valor agregado las prestaciones financieras que puedan resultar involucradas en su emisión, suscripción, colocación, transferencia y renta: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Los resultados provenientes de su compraventa, cambio, permuta, conversión y disposición, así como también sus rentas, quedan exentos del impuesto a las ganancias, excepto para los sujetos comprendidos en el título VI de la Ley de Impuesto a las Ganancias (texto ordenado en 1986 y sus modificaciones). Cuando se trate de beneficiarios del exterior comprendidos en el título V de la citada norma legal, no regirá lo dispuesto en su artículo 21 y en el artículo 104 de la Ley 11.683 (texto ordenado 1978 y sus modificaciones).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tratamiento impositivo establecido en el párrafo anterior será de aplicación cuando los referidos títulos sean colocados por oferta pública.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Asimismo, a los efectos del impuesto al valor agregado, las incorporaciones de créditos a un Fondo Común de Inversión, no constituirán prestaciones o colocaciones financieras gravadas. Cuando el crédito incorporado incluya intereses de financiación, el sujeto pasivo del impuesto por la prestación correspondiente a estos últimos continuará siendo el cedente, salvo que el pago deba efectuarse al cesionario o a quien éste indique, en cuyo caso será quien lo reciba el que asumirá la calidad de sujeto pasivo.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(Inciso i) sustituido por art. 1° de la</w:t>
      </w:r>
      <w:r>
        <w:rPr>
          <w:rStyle w:val="apple-converted-space"/>
          <w:rFonts w:ascii="Verdana" w:hAnsi="Verdana"/>
          <w:i/>
          <w:iCs/>
          <w:color w:val="000000"/>
          <w:sz w:val="18"/>
          <w:szCs w:val="18"/>
        </w:rPr>
        <w:t> </w:t>
      </w:r>
      <w:hyperlink r:id="rId6" w:history="1">
        <w:r>
          <w:rPr>
            <w:rStyle w:val="Hipervnculo"/>
            <w:rFonts w:ascii="Verdana" w:hAnsi="Verdana"/>
            <w:i/>
            <w:iCs/>
            <w:sz w:val="18"/>
            <w:szCs w:val="18"/>
          </w:rPr>
          <w:t>Ley N° 24.781</w:t>
        </w:r>
      </w:hyperlink>
      <w:r>
        <w:rPr>
          <w:rStyle w:val="apple-converted-space"/>
          <w:rFonts w:ascii="Verdana" w:hAnsi="Verdana"/>
          <w:i/>
          <w:iCs/>
          <w:color w:val="000000"/>
          <w:sz w:val="18"/>
          <w:szCs w:val="18"/>
        </w:rPr>
        <w:t> </w:t>
      </w:r>
      <w:r>
        <w:rPr>
          <w:rFonts w:ascii="Verdana" w:hAnsi="Verdana"/>
          <w:i/>
          <w:iCs/>
          <w:color w:val="000000"/>
          <w:sz w:val="18"/>
          <w:szCs w:val="18"/>
        </w:rPr>
        <w:t>B.O. 4/4/1997)</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IX</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al Código Procesal Civil y Comercial de la Nación</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79.</w:t>
      </w:r>
      <w:r>
        <w:rPr>
          <w:rStyle w:val="apple-converted-space"/>
          <w:rFonts w:ascii="Verdana" w:hAnsi="Verdana"/>
          <w:color w:val="000000"/>
          <w:sz w:val="18"/>
          <w:szCs w:val="18"/>
        </w:rPr>
        <w:t> </w:t>
      </w:r>
      <w:r>
        <w:rPr>
          <w:rFonts w:ascii="Verdana" w:hAnsi="Verdana"/>
          <w:color w:val="000000"/>
          <w:sz w:val="18"/>
          <w:szCs w:val="18"/>
        </w:rPr>
        <w:t>— Modificase el Código Procesal Civil y Comercial de la Nación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Articulo 598: Dictada la sentencia de trance y remate se procederá de la siguiente forma: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1. El juez ordenará verificar el estado físico y de ocupación, designado a tal fin al escribano que proponga el acreedor. Si de esa diligencia resulta que el inmueble se encuentra ocupado, en el mismo acto se intimará a su desocupación en el plazo de diez (10) días, bajo apercibimiento de lanzamiento por la fuerza pública.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No verificada en ese plazo la desocupación, sin más trámite se procederá al lanzamiento y se entregará la tenencia al acreedor, hasta la aprobación del remate, con intervención del notario al que se refiere el párrafo anterior. A esos fines, el escribano actuante puede requerir el auxilio de la fuerza pública, allanar domicilio y violentar cerraduras y poner en depósito oneroso los bienes que se encuentren en el inmueble, a costa del deudor.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2. El acreedor estará facultado para solicitar directamente al Registro de la Propiedad un informe sobre el estado y gravámenes que afectaren el inmueble hipotecado, con indicación del importe de los créditos, sus titulares y domicilios.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3. Asimismo, el acreedor puede requerir la liquidación de las deudas que existan en concepto de expensas de la propiedad horizontal, impuestos, tasas y contribuciones que pesen sobre el inmueble, bajo apercibimiento que de no contarse con dichas liquidaciones en el plazo de diez (10) días hábiles desde la </w:t>
      </w:r>
      <w:r>
        <w:rPr>
          <w:rFonts w:ascii="Verdana" w:hAnsi="Verdana"/>
          <w:color w:val="000000"/>
          <w:sz w:val="18"/>
          <w:szCs w:val="18"/>
        </w:rPr>
        <w:lastRenderedPageBreak/>
        <w:t>recepción de su solicitud, se podrá subastar el bien como si estuviera libre de deudas. Los reclamos que se dedujeron por aplicación de lo dispuesto en este inciso no afectarán el tramite de remate del bien gravado.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4. La venta quedará perfeccionada una vez pagado el precio en el plazo que se haya estipulado y realizada la tradición a favor del comprador. El pago se podrá realizar directamente al acreedor, quien deberá depositar el remanente dentro del quinto día verificado el cobro. Si el acreedor ostenta la tenencia del inmueble subastado, podrá transmitirla directamente al comprador: caso contrario y no habiendo mediado desposesión como lo prevé el inciso 1 deberá ser entregado con intervención del juez. La protocolización de las actuaciones será extendida por intermedio del escribano designado por el comprador, sin que sea necesaria la comparecencia del ejecutado.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5. El deudor ni el tercero, poseedor del inmueble hipotecado, pueden interponer incidente ni recurso alguno, salvo las defensas del articulo 64 en la oportunidad del articulo 54, sin perjuicio de que el deudor pueda ejercitar, en juicio sumarísimo posterior, los derechos que tenga que reclamar el acreedor. Si existiera peligro de desprotección de alguno de los interesados, se notificará al defensor oficial para que asuma el control del proceso de ejecución de la garantía.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6. Una ves realizada la subasta y cancelado el crédito ejecutado, el deudor podrá impugnar por la vía judicial: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liquidación practicada por el acreedor, y</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b)El incumplimiento de los recaudos establecidos en el presente articulo por parte del ejecutante.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todos los casos el acreedor deberá indemnizar los perjuicios ocasionados, sin perjuicio de las sanciones penales y administrativas de que se hiciera pasible.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7. en los casos previstos en el presente articulo, no procederá la compra en comisión ni la indisponibilidad de los fondos de la subasta. No obstante el juez podrá pedir caución suficiente al acreedor.</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X</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al Régimen Registral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80.</w:t>
      </w:r>
      <w:r>
        <w:rPr>
          <w:rStyle w:val="apple-converted-space"/>
          <w:rFonts w:ascii="Verdana" w:hAnsi="Verdana"/>
          <w:color w:val="000000"/>
          <w:sz w:val="18"/>
          <w:szCs w:val="18"/>
        </w:rPr>
        <w:t> </w:t>
      </w:r>
      <w:r>
        <w:rPr>
          <w:rFonts w:ascii="Verdana" w:hAnsi="Verdana"/>
          <w:color w:val="000000"/>
          <w:sz w:val="18"/>
          <w:szCs w:val="18"/>
        </w:rPr>
        <w:t>— Cuando la ley lo autorice pueden ser inscritos los instrumentos privados, siempre que la firma de sus otorgantes esté certificada por escribano público.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81.</w:t>
      </w:r>
      <w:r>
        <w:rPr>
          <w:rStyle w:val="apple-converted-space"/>
          <w:rFonts w:ascii="Verdana" w:hAnsi="Verdana"/>
          <w:color w:val="000000"/>
          <w:sz w:val="18"/>
          <w:szCs w:val="18"/>
        </w:rPr>
        <w:t> </w:t>
      </w:r>
      <w:r>
        <w:rPr>
          <w:rFonts w:ascii="Verdana" w:hAnsi="Verdana"/>
          <w:color w:val="000000"/>
          <w:sz w:val="18"/>
          <w:szCs w:val="18"/>
        </w:rPr>
        <w:t>— La situación registral sólo variará a petición de: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autorizante del documento que se pretende inscribir, o su reemplazante legal;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Quien tuviere interés para asegurar el derecho que se ha de registrar.</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XI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al Código Penal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82.</w:t>
      </w:r>
      <w:r>
        <w:rPr>
          <w:rStyle w:val="apple-converted-space"/>
          <w:rFonts w:ascii="Verdana" w:hAnsi="Verdana"/>
          <w:color w:val="000000"/>
          <w:sz w:val="18"/>
          <w:szCs w:val="18"/>
        </w:rPr>
        <w:t> </w:t>
      </w:r>
      <w:r>
        <w:rPr>
          <w:rFonts w:ascii="Verdana" w:hAnsi="Verdana"/>
          <w:color w:val="000000"/>
          <w:sz w:val="18"/>
          <w:szCs w:val="18"/>
        </w:rPr>
        <w:t>— Agrégase al articulo 173 del Código Penal, los siguientes incisos: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12. El titular fiduciario, el administrador de fondos comunes de inversión o el dador de un contrato de leasing, que en beneficio propio o de un tercero dispusiere, gravare o perjudicare los bienes y de esta manera defraudare los derechos de los cocontratantes.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13. El que encontrándose autorizado para ejecutar extrajudicialmente un inmueble lo ejecutara extrajudicialmente un inmueble lo ejecutara en prejuicio del deudor, a sabiendas de que el mismo no se encuentra en mora, o maliciosamente omitiera cumplimentar los recaudos establecidos para la subasta mediante dicho procedimiento especial.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14. El tenedor de letras hipotecarias que en prejuicio del deudor o de terceros omitiera consignar en el titulo los pagos recibidos.</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XII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Modificaciones a las leyes impositivas</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83.</w:t>
      </w:r>
      <w:r>
        <w:rPr>
          <w:rStyle w:val="apple-converted-space"/>
          <w:rFonts w:ascii="Verdana" w:hAnsi="Verdana"/>
          <w:color w:val="000000"/>
          <w:sz w:val="18"/>
          <w:szCs w:val="18"/>
        </w:rPr>
        <w:t> </w:t>
      </w:r>
      <w:r>
        <w:rPr>
          <w:rFonts w:ascii="Verdana" w:hAnsi="Verdana"/>
          <w:color w:val="000000"/>
          <w:sz w:val="18"/>
          <w:szCs w:val="18"/>
        </w:rPr>
        <w:t>— Los títulos valores representativos de deuda y los certificados de participación emitidos por fiduciarios respecto de fideicomisos que se constituyan para la titulización de activos, serán objeto del siguiente tratamiento impositivo: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Quedan exentas del impuesto al valor agregado las operaciones financieras y prestaciones relativas a su emisión, suscripción, colocación, transferencia, amortización, intereses y cancelación, como así también las correspondientes a sus garantías;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Los resultados provenientes de su compraventa, cambio, permuta, conversión y disposición, como así también sus intereses, actualizaciones y ajustes de capital, quedan exentos del impuesto a las ganancias, excepto para los sujetos comprendidos en el Título VI de la Ley de Impuesto a las Ganancias (texto ordenado 1986) y sus modificaciones. Cuando se trate de beneficiarios del exterior comprendidos en el título V de la citada norma legal, no regirá lo dispuesto en su artículo 21 y en el artículo 104 de la Ley 11.683 (texto ordenado 1978) y sus modificaciones.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tratamiento impositivo establecido en este artículo será de aplicación cuando los referidos títulos sean colocados por oferta pública.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84.</w:t>
      </w:r>
      <w:r>
        <w:rPr>
          <w:rStyle w:val="apple-converted-space"/>
          <w:rFonts w:ascii="Verdana" w:hAnsi="Verdana"/>
          <w:color w:val="000000"/>
          <w:sz w:val="18"/>
          <w:szCs w:val="18"/>
        </w:rPr>
        <w:t> </w:t>
      </w:r>
      <w:r>
        <w:rPr>
          <w:rFonts w:ascii="Verdana" w:hAnsi="Verdana"/>
          <w:color w:val="000000"/>
          <w:sz w:val="18"/>
          <w:szCs w:val="18"/>
        </w:rPr>
        <w:t>— A los efectos del impuesto al valor agregado, cuando los bienes fideicomitidos fuesen créditos, las transmisiones a favor del fideicomiso no constituirán prestaciones o colocaciones financieras gravadas.</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el crédito cedido incluya intereses de financiación, el sujeto pasivo del impuesto por la prestación correspondiente a estos últimos continuará siendo el fideicomitente, salvo que el pago deba efectuarse al cesionario o a quien éste indique, en cuyo caso será quien lo reciba el que asumirá la calidad de sujeto pasivo.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85.</w:t>
      </w:r>
      <w:r>
        <w:rPr>
          <w:rStyle w:val="apple-converted-space"/>
          <w:rFonts w:ascii="Verdana" w:hAnsi="Verdana"/>
          <w:color w:val="000000"/>
          <w:sz w:val="18"/>
          <w:szCs w:val="18"/>
        </w:rPr>
        <w:t> </w:t>
      </w:r>
      <w:r>
        <w:rPr>
          <w:rFonts w:ascii="Verdana" w:hAnsi="Verdana"/>
          <w:color w:val="000000"/>
          <w:sz w:val="18"/>
          <w:szCs w:val="18"/>
        </w:rPr>
        <w:t>— Las disposiciones del presente capítulo entrarán en vigencia el primer día del mes subsiguiente al de la publicación de la presente ley.</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XIII</w:t>
      </w:r>
    </w:p>
    <w:p w:rsidR="000F0552" w:rsidRDefault="000F0552" w:rsidP="000F0552">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lastRenderedPageBreak/>
        <w:t>Desregulación de aspectos vinculados a la construcción en el ámbito de la Capital Federal (artículos 86 al 98)</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86.</w:t>
      </w:r>
      <w:r>
        <w:rPr>
          <w:rStyle w:val="apple-converted-space"/>
          <w:rFonts w:ascii="Verdana" w:hAnsi="Verdana"/>
          <w:color w:val="000000"/>
          <w:sz w:val="18"/>
          <w:szCs w:val="18"/>
        </w:rPr>
        <w:t> </w:t>
      </w:r>
      <w:r>
        <w:rPr>
          <w:rFonts w:ascii="Verdana" w:hAnsi="Verdana"/>
          <w:color w:val="000000"/>
          <w:sz w:val="18"/>
          <w:szCs w:val="18"/>
        </w:rPr>
        <w:t>— Agrégase al artículo 2.1.3.7 del Código de la Edificación (ordenanza 33.387 oficializada por ordenanza 33.515 de la Municipalidad de la Ciudad de Buenos Aires) el siguiente párrafo: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Ante la presentación de la documentación exigida para la ejecución de obras que requieran permiso, se expedirán inmediatamente y en un mismo acto, el número de expediente y la registración, postergando cualquier análisis sobre aquella documentación para la etapa siguiente de fiscalización, basada en la responsabilidad profesional.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87.</w:t>
      </w:r>
      <w:r>
        <w:rPr>
          <w:rStyle w:val="apple-converted-space"/>
          <w:rFonts w:ascii="Verdana" w:hAnsi="Verdana"/>
          <w:color w:val="000000"/>
          <w:sz w:val="18"/>
          <w:szCs w:val="18"/>
        </w:rPr>
        <w:t> </w:t>
      </w:r>
      <w:r>
        <w:rPr>
          <w:rFonts w:ascii="Verdana" w:hAnsi="Verdana"/>
          <w:color w:val="000000"/>
          <w:sz w:val="18"/>
          <w:szCs w:val="18"/>
        </w:rPr>
        <w:t>— Agrégase al inciso a) del artículo 2.1.2.2. del Código de la Edificación (ordenanza 33.387 oficializada por la 33 515 de la Municipalidad de Buenos Aires), como último párrafo el siguiente:</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la entrega de los certificados exigidos para el permiso de obra demorase más de cuarenta y ocho (48) horas, el interesado quedará autorizado para suplirlos con la presentación de la solicitud correspondiente en la que constará el incumplimiento del plazo antes mencionado.</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88.</w:t>
      </w:r>
      <w:r>
        <w:rPr>
          <w:rStyle w:val="apple-converted-space"/>
          <w:rFonts w:ascii="Verdana" w:hAnsi="Verdana"/>
          <w:color w:val="000000"/>
          <w:sz w:val="18"/>
          <w:szCs w:val="18"/>
        </w:rPr>
        <w:t> </w:t>
      </w:r>
      <w:r>
        <w:rPr>
          <w:rFonts w:ascii="Verdana" w:hAnsi="Verdana"/>
          <w:color w:val="000000"/>
          <w:sz w:val="18"/>
          <w:szCs w:val="18"/>
        </w:rPr>
        <w:t>— Derógase la exigencia del registro de gestores, prevista por el artículo 2.5.9.6. del Código de Edificación (ordenanza 33.387 oficializada por ordenanza 33.515).</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89.</w:t>
      </w:r>
      <w:r>
        <w:rPr>
          <w:rStyle w:val="apple-converted-space"/>
          <w:rFonts w:ascii="Verdana" w:hAnsi="Verdana"/>
          <w:color w:val="000000"/>
          <w:sz w:val="18"/>
          <w:szCs w:val="18"/>
        </w:rPr>
        <w:t> </w:t>
      </w:r>
      <w:r>
        <w:rPr>
          <w:rFonts w:ascii="Verdana" w:hAnsi="Verdana"/>
          <w:color w:val="000000"/>
          <w:sz w:val="18"/>
          <w:szCs w:val="18"/>
        </w:rPr>
        <w:t>— Redúcese el costo del derecho de ocupación y uso de la vía pública con obradores de empresas privadas por cuenta de terceros, previsto por el artículo 26 de la Ordenanza Tarifaria para el año 1994 (47.548), a la suma de cinco centavos ($ 0,05).</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90.</w:t>
      </w:r>
      <w:r>
        <w:rPr>
          <w:rStyle w:val="apple-converted-space"/>
          <w:rFonts w:ascii="Verdana" w:hAnsi="Verdana"/>
          <w:color w:val="000000"/>
          <w:sz w:val="18"/>
          <w:szCs w:val="18"/>
        </w:rPr>
        <w:t> </w:t>
      </w:r>
      <w:r>
        <w:rPr>
          <w:rFonts w:ascii="Verdana" w:hAnsi="Verdana"/>
          <w:color w:val="000000"/>
          <w:sz w:val="18"/>
          <w:szCs w:val="18"/>
        </w:rPr>
        <w:t>— Redúcese la contribución por publicidad prevista por el artículo 65 de la Ordenanza Tarifaria para el año 1994 (47 548), al cinco por ciento (5%) del valor anual de la mayor tarifa para un aviso frontal simple conforme el artículo 13.4.14 del Código de la Publicidad (ordenanza 41.115), con un importe único para toda la Capital.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91.</w:t>
      </w:r>
      <w:r>
        <w:rPr>
          <w:rStyle w:val="apple-converted-space"/>
          <w:rFonts w:ascii="Verdana" w:hAnsi="Verdana"/>
          <w:color w:val="000000"/>
          <w:sz w:val="18"/>
          <w:szCs w:val="18"/>
        </w:rPr>
        <w:t> </w:t>
      </w:r>
      <w:r>
        <w:rPr>
          <w:rFonts w:ascii="Verdana" w:hAnsi="Verdana"/>
          <w:color w:val="000000"/>
          <w:sz w:val="18"/>
          <w:szCs w:val="18"/>
        </w:rPr>
        <w:t>— Derógase el artículo 2 y la obligación de percibir honorarios por etapas prevista en los capítulos II, III y IV del arancel aprobado por decreto ley 7887/55.</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92.</w:t>
      </w:r>
      <w:r>
        <w:rPr>
          <w:rStyle w:val="apple-converted-space"/>
          <w:rFonts w:ascii="Verdana" w:hAnsi="Verdana"/>
          <w:color w:val="000000"/>
          <w:sz w:val="18"/>
          <w:szCs w:val="18"/>
        </w:rPr>
        <w:t> </w:t>
      </w:r>
      <w:r>
        <w:rPr>
          <w:rFonts w:ascii="Verdana" w:hAnsi="Verdana"/>
          <w:color w:val="000000"/>
          <w:sz w:val="18"/>
          <w:szCs w:val="18"/>
        </w:rPr>
        <w:t>— Derógase el artículo 2.1.1.4. del libro segundo del Código de Etica para la Agrimensura, Arquitectura e Ingeniería, aprobado por decreto 1099/84.</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93.</w:t>
      </w:r>
      <w:r>
        <w:rPr>
          <w:rStyle w:val="apple-converted-space"/>
          <w:rFonts w:ascii="Verdana" w:hAnsi="Verdana"/>
          <w:color w:val="000000"/>
          <w:sz w:val="18"/>
          <w:szCs w:val="18"/>
        </w:rPr>
        <w:t> </w:t>
      </w:r>
      <w:r>
        <w:rPr>
          <w:rFonts w:ascii="Verdana" w:hAnsi="Verdana"/>
          <w:color w:val="000000"/>
          <w:sz w:val="18"/>
          <w:szCs w:val="18"/>
        </w:rPr>
        <w:t>— Derógase la intervención del Consejo Profesional respectivo en la extensión del certificado de encomienda de tareas profesionales, previsto en el apartado 4, inciso a), del artículo 2 1.2.2. del Código de la Edificación (ordenanza 33.387, oficializada por ordenanza 33.515).</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94.</w:t>
      </w:r>
      <w:r>
        <w:rPr>
          <w:rStyle w:val="apple-converted-space"/>
          <w:rFonts w:ascii="Verdana" w:hAnsi="Verdana"/>
          <w:color w:val="000000"/>
          <w:sz w:val="18"/>
          <w:szCs w:val="18"/>
        </w:rPr>
        <w:t> </w:t>
      </w:r>
      <w:r>
        <w:rPr>
          <w:rFonts w:ascii="Verdana" w:hAnsi="Verdana"/>
          <w:color w:val="000000"/>
          <w:sz w:val="18"/>
          <w:szCs w:val="18"/>
        </w:rPr>
        <w:t>— Prohíbese a los colegios profesionales de agrimensura, arquitectura e ingeniería exigir a sus matriculados, en forma previa a la realización de actividades en que éstos asuman responsabilidad profesional, cualquier clase de certificado de habilitación y registro de encomienda.</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95.</w:t>
      </w:r>
      <w:r>
        <w:rPr>
          <w:rStyle w:val="apple-converted-space"/>
          <w:rFonts w:ascii="Verdana" w:hAnsi="Verdana"/>
          <w:color w:val="000000"/>
          <w:sz w:val="18"/>
          <w:szCs w:val="18"/>
        </w:rPr>
        <w:t> </w:t>
      </w:r>
      <w:r>
        <w:rPr>
          <w:rFonts w:ascii="Verdana" w:hAnsi="Verdana"/>
          <w:color w:val="000000"/>
          <w:sz w:val="18"/>
          <w:szCs w:val="18"/>
        </w:rPr>
        <w:t xml:space="preserve">— Suprímese el Registro Municipal de Profesionales al que se refiere el artículo 2.5.9.1. y concordantes del Código de la Edificación (ordenanza 33.387, oficializada por ordenanza 33.515) y créase, en su reemplazo un Registro de Profesionales Sancionados, donde figurarán </w:t>
      </w:r>
      <w:r>
        <w:rPr>
          <w:rFonts w:ascii="Verdana" w:hAnsi="Verdana"/>
          <w:color w:val="000000"/>
          <w:sz w:val="18"/>
          <w:szCs w:val="18"/>
        </w:rPr>
        <w:lastRenderedPageBreak/>
        <w:t>exclusivamente aquellos profesionales que hayan sido suspendidos o inhabilitados para ejercer en el ámbito municipal.</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Podrán ejercer libremente su profesión en el ámbito de la Capital Federal, de conformidad con lo establecido por el decreto 2293 del 2 de diciembre de 1992, quienes no se encuentren incluidos en el Registro de Profesionales Sancionados mencionado en el párrafo anterior.</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96.</w:t>
      </w:r>
      <w:r>
        <w:rPr>
          <w:rStyle w:val="apple-converted-space"/>
          <w:rFonts w:ascii="Verdana" w:hAnsi="Verdana"/>
          <w:color w:val="000000"/>
          <w:sz w:val="18"/>
          <w:szCs w:val="18"/>
        </w:rPr>
        <w:t> </w:t>
      </w:r>
      <w:r>
        <w:rPr>
          <w:rFonts w:ascii="Verdana" w:hAnsi="Verdana"/>
          <w:color w:val="000000"/>
          <w:sz w:val="18"/>
          <w:szCs w:val="18"/>
        </w:rPr>
        <w:t>— Derógase el visado del consejo profesional respectivo del letrero reglamentario de obra, previsto en el apartado 5, inciso a), del artículo 2.1.2.2. del Código de la Edificación (ordenanza 33.387, oficializada por ordenanza 33.515).</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97.</w:t>
      </w:r>
      <w:r>
        <w:rPr>
          <w:rStyle w:val="apple-converted-space"/>
          <w:rFonts w:ascii="Verdana" w:hAnsi="Verdana"/>
          <w:color w:val="000000"/>
          <w:sz w:val="18"/>
          <w:szCs w:val="18"/>
        </w:rPr>
        <w:t> </w:t>
      </w:r>
      <w:r>
        <w:rPr>
          <w:rFonts w:ascii="Verdana" w:hAnsi="Verdana"/>
          <w:color w:val="000000"/>
          <w:sz w:val="18"/>
          <w:szCs w:val="18"/>
        </w:rPr>
        <w:t>— Déjase sin efecto toda norma legal que se oponga al contenido de la presente ley.</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98.</w:t>
      </w:r>
      <w:r>
        <w:rPr>
          <w:rStyle w:val="apple-converted-space"/>
          <w:rFonts w:ascii="Verdana" w:hAnsi="Verdana"/>
          <w:color w:val="000000"/>
          <w:sz w:val="18"/>
          <w:szCs w:val="18"/>
        </w:rPr>
        <w:t> </w:t>
      </w:r>
      <w:r>
        <w:rPr>
          <w:rFonts w:ascii="Verdana" w:hAnsi="Verdana"/>
          <w:color w:val="000000"/>
          <w:sz w:val="18"/>
          <w:szCs w:val="18"/>
        </w:rPr>
        <w:t>— Comuníquese al Poder Ejecutivo. — ALBERTO R.PIERRI. — FAUSTINO MAZZUCCO. — Esther H. Pereyra Arandía de Pérez Pardo. — Eduardo Piuzzi.</w:t>
      </w:r>
    </w:p>
    <w:p w:rsidR="000F0552" w:rsidRDefault="000F0552" w:rsidP="000F0552">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DADA EN LA SALA DE SESIONES DEL CONGRESO ARGENTINO, EN BUENOS AIRES, A LOS VEINTIDOS DIAS DEL MES DE DICIEMBRE DEL AÑO MIL NOVECIENTOS NOVENTA Y CUATRO.</w:t>
      </w:r>
    </w:p>
    <w:p w:rsidR="00995022" w:rsidRDefault="00995022"/>
    <w:sectPr w:rsidR="00995022" w:rsidSect="0099502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F0552"/>
    <w:rsid w:val="000F0552"/>
    <w:rsid w:val="009950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02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F055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0F0552"/>
  </w:style>
  <w:style w:type="character" w:styleId="Hipervnculo">
    <w:name w:val="Hyperlink"/>
    <w:basedOn w:val="Fuentedeprrafopredeter"/>
    <w:uiPriority w:val="99"/>
    <w:semiHidden/>
    <w:unhideWhenUsed/>
    <w:rsid w:val="000F0552"/>
    <w:rPr>
      <w:color w:val="0000FF"/>
      <w:u w:val="single"/>
    </w:rPr>
  </w:style>
</w:styles>
</file>

<file path=word/webSettings.xml><?xml version="1.0" encoding="utf-8"?>
<w:webSettings xmlns:r="http://schemas.openxmlformats.org/officeDocument/2006/relationships" xmlns:w="http://schemas.openxmlformats.org/wordprocessingml/2006/main">
  <w:divs>
    <w:div w:id="70833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foleg.mecon.gov.ar/scripts1/busquedas/cnsnorma.asp?tipo=Ley&amp;nro=24781" TargetMode="External"/><Relationship Id="rId5" Type="http://schemas.openxmlformats.org/officeDocument/2006/relationships/hyperlink" Target="http://infoleg.mecon.gov.ar/scripts1/busquedas/norma.asp?num=72339" TargetMode="External"/><Relationship Id="rId4" Type="http://schemas.openxmlformats.org/officeDocument/2006/relationships/hyperlink" Target="http://infoleg.mecon.gov.ar/scripts1/busquedas/cnsnorma.asp?tipo=Ley&amp;nro=2524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8579</Words>
  <Characters>47185</Characters>
  <Application>Microsoft Office Word</Application>
  <DocSecurity>0</DocSecurity>
  <Lines>393</Lines>
  <Paragraphs>111</Paragraphs>
  <ScaleCrop>false</ScaleCrop>
  <Company/>
  <LinksUpToDate>false</LinksUpToDate>
  <CharactersWithSpaces>55653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2014-05-18T23:17:00Z</dcterms:created>
  <dcterms:modified xsi:type="dcterms:W3CDTF">2014-05-18T23:18:00Z</dcterms:modified>
</cp:coreProperties>
</file>