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78D5" w:rsidRDefault="007678D5" w:rsidP="007678D5">
      <w:pPr>
        <w:pStyle w:val="NormalWeb"/>
        <w:spacing w:before="150" w:beforeAutospacing="0" w:after="300" w:afterAutospacing="0"/>
        <w:ind w:left="600" w:right="600"/>
        <w:rPr>
          <w:rFonts w:ascii="Verdana" w:hAnsi="Verdana"/>
          <w:b/>
          <w:bCs/>
          <w:color w:val="000000"/>
          <w:sz w:val="18"/>
          <w:szCs w:val="18"/>
        </w:rPr>
      </w:pPr>
      <w:r>
        <w:rPr>
          <w:rFonts w:ascii="Verdana" w:hAnsi="Verdana"/>
          <w:b/>
          <w:bCs/>
          <w:color w:val="000000"/>
          <w:sz w:val="18"/>
          <w:szCs w:val="18"/>
        </w:rPr>
        <w:t>DEFENSA DE LA COMPETENCIA</w:t>
      </w:r>
    </w:p>
    <w:p w:rsidR="007678D5" w:rsidRDefault="007678D5" w:rsidP="007678D5">
      <w:pPr>
        <w:pStyle w:val="NormalWeb"/>
        <w:spacing w:before="150" w:beforeAutospacing="0" w:after="300" w:afterAutospacing="0"/>
        <w:ind w:left="600" w:right="600"/>
        <w:rPr>
          <w:rFonts w:ascii="Verdana" w:hAnsi="Verdana"/>
          <w:b/>
          <w:bCs/>
          <w:color w:val="000000"/>
          <w:sz w:val="18"/>
          <w:szCs w:val="18"/>
        </w:rPr>
      </w:pPr>
      <w:r>
        <w:rPr>
          <w:rFonts w:ascii="Verdana" w:hAnsi="Verdana"/>
          <w:b/>
          <w:bCs/>
          <w:color w:val="000000"/>
          <w:sz w:val="18"/>
          <w:szCs w:val="18"/>
        </w:rPr>
        <w:t>Ley 25.156</w:t>
      </w:r>
    </w:p>
    <w:p w:rsidR="007678D5" w:rsidRDefault="007678D5" w:rsidP="007678D5">
      <w:pPr>
        <w:pStyle w:val="NormalWeb"/>
        <w:spacing w:before="150" w:beforeAutospacing="0" w:after="300" w:afterAutospacing="0"/>
        <w:ind w:left="600" w:right="600"/>
        <w:rPr>
          <w:rFonts w:ascii="Verdana" w:hAnsi="Verdana"/>
          <w:b/>
          <w:bCs/>
          <w:color w:val="000000"/>
          <w:sz w:val="18"/>
          <w:szCs w:val="18"/>
        </w:rPr>
      </w:pPr>
      <w:r>
        <w:rPr>
          <w:rFonts w:ascii="Verdana" w:hAnsi="Verdana"/>
          <w:b/>
          <w:bCs/>
          <w:color w:val="000000"/>
          <w:sz w:val="18"/>
          <w:szCs w:val="18"/>
        </w:rPr>
        <w:t>Acuerdos y prácticas prohibidas. Posición dominante. Concentraciones y Fusiones. Autoridad de aplicación. Presupuesto del Tribunal Nacional de Defensa de la Competencia. Procedimiento. Sanciones. Apelaciones. Prescripción. Disposiciones transitorias y complementarias.</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hyperlink r:id="rId4" w:anchor="1" w:history="1">
        <w:r>
          <w:rPr>
            <w:rStyle w:val="Hipervnculo"/>
            <w:rFonts w:ascii="Verdana" w:hAnsi="Verdana"/>
            <w:b/>
            <w:bCs/>
            <w:color w:val="000000"/>
            <w:sz w:val="18"/>
            <w:szCs w:val="18"/>
          </w:rPr>
          <w:t>Ver Antecedentes Normativos</w:t>
        </w:r>
      </w:hyperlink>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Sancionada: Agosto 25 de 1999.</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Promulgada: Septiembre 16 de 1999.</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El Senado y Cámara de Diputados de la Nación Argentina reunidos en Congreso, etc., sancionan con fuerza de Ley:</w:t>
      </w:r>
    </w:p>
    <w:p w:rsidR="007678D5" w:rsidRDefault="007678D5" w:rsidP="007678D5">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LEY DE DEFENSA DE LA COMPETENCIA</w:t>
      </w:r>
    </w:p>
    <w:p w:rsidR="007678D5" w:rsidRDefault="007678D5" w:rsidP="007678D5">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CAPITULO I</w:t>
      </w:r>
    </w:p>
    <w:p w:rsidR="007678D5" w:rsidRDefault="007678D5" w:rsidP="007678D5">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DE LOS ACUERDOS Y PRACTICAS PROHIBIDAS</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1º</w:t>
      </w:r>
      <w:r>
        <w:rPr>
          <w:rStyle w:val="apple-converted-space"/>
          <w:rFonts w:ascii="Verdana" w:hAnsi="Verdana"/>
          <w:b/>
          <w:bCs/>
          <w:color w:val="000000"/>
          <w:sz w:val="18"/>
          <w:szCs w:val="18"/>
        </w:rPr>
        <w:t> </w:t>
      </w:r>
      <w:r>
        <w:rPr>
          <w:rFonts w:ascii="Verdana" w:hAnsi="Verdana"/>
          <w:color w:val="000000"/>
          <w:sz w:val="18"/>
          <w:szCs w:val="18"/>
        </w:rPr>
        <w:t>— Están prohibidos y serán sancionados de conformidad con las normas de la presente ley, los actos o conductas, de cualquier forma manifestados, relacionados con la producción e intercambio de bienes o servicios, que tengan por objeto o efecto limitar, restringir, falsear o distorsionar la competencia o el acceso al mercado o que constituyan abuso de una posición dominante en un mercado, de modo que pueda resultar perjuicio para el interés económico general.</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Queda comprendida en este artículo, en tanto se den los supuestos del párrafo anterior, la obtención de ventajas competitivas significativas mediante la infracción declarada por acto administrativo o sentencia firme, de otras normas.</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2º</w:t>
      </w:r>
      <w:r>
        <w:rPr>
          <w:rStyle w:val="apple-converted-space"/>
          <w:rFonts w:ascii="Verdana" w:hAnsi="Verdana"/>
          <w:b/>
          <w:bCs/>
          <w:color w:val="000000"/>
          <w:sz w:val="18"/>
          <w:szCs w:val="18"/>
        </w:rPr>
        <w:t> </w:t>
      </w:r>
      <w:r>
        <w:rPr>
          <w:rFonts w:ascii="Verdana" w:hAnsi="Verdana"/>
          <w:color w:val="000000"/>
          <w:sz w:val="18"/>
          <w:szCs w:val="18"/>
        </w:rPr>
        <w:t>— Las siguientes conductas, entre otras, en la medida que configuren las hipótesis del artículo 1º, constituyen prácticas restrictivas de la competencia:</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Fijar, concertar o manipular en forma directa o indirecta el precio de venta, o compra de bienes o servicios al que se ofrecen o demanden en el mercado, así como intercambiar información con el mismo objeto o efecto;</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 Establecer obligaciones de producir, procesar, distribuir, comprar o comercializar sólo una cantidad restringida o limitada de bienes, o prestar un número, volumen o frecuencia restringido o limitado de servicios;</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c) Repartir en forma horizontal zonas, mercados, clientes y fuentes de aprovisionamiento;</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d) Concertar o coordinar posturas en las licitaciones o concursos;</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e) Concertar la limitación o control del desarrollo técnico o las inversiones destinadas a la producción o comercialización de bienes y servicios;</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lastRenderedPageBreak/>
        <w:t>f) Impedir, dificultar u obstaculizar a terceras personas la entrada o permanencia en un mercado o excluirlas de éste;</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g) Fijar, imponer o practicar, directa o indirectamente, en acuerdo con competidores o individualmente, de cualquier forma precios y condiciones de compra o de venta de bienes, de prestación de servicios o de producción;</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h) Regular mercados de bienes o servicios, mediante acuerdos para limitar o controlar la investigación y el desarrollo tecnológico, la producción de bienes o prestación de servicios, o para dificultar inversiones destinadas a la producción de bienes o servicios o su distribución;</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i) Subordinar la venta de un bien a la adquisición de otro o a la utilización de un servicio, o subordinar la prestación de un servicio a la utilización de otro o a la adquisición de un bien;</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j) Sujetar la compra o venta a la condición de no usar, adquirir, vender o abastecer bienes o servicios producidos, procesados, distribuidos o comercializados por un tercero;</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k) Imponer condiciones discriminatorias para la adquisición o enajenación de bienes o servicios sin razones fundadas en los usos y costumbres comerciales;</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l) Negarse injustificadamente a satisfacer pedidos concretos, para la compra o venta de bienes o servicios, efectuados en las condiciones vigentes en el mercado de que se trate;</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ll) Suspender la provisión de un servicio monopólico dominante en el mercado a un prestatario de servicios públicos o de interés público;</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m) Enajenar bienes o prestar servicios a precios inferiores a su costo, sin razones fundadas en los usos y costumbres comerciales con la finalidad de desplazar la competencia en el mercado o de producir daños en la imagen o en el patrimonio o en el valor de las marcas de sus proveedores de bienes o servicios.</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3º</w:t>
      </w:r>
      <w:r>
        <w:rPr>
          <w:rStyle w:val="apple-converted-space"/>
          <w:rFonts w:ascii="Verdana" w:hAnsi="Verdana"/>
          <w:b/>
          <w:bCs/>
          <w:color w:val="000000"/>
          <w:sz w:val="18"/>
          <w:szCs w:val="18"/>
        </w:rPr>
        <w:t> </w:t>
      </w:r>
      <w:r>
        <w:rPr>
          <w:rFonts w:ascii="Verdana" w:hAnsi="Verdana"/>
          <w:color w:val="000000"/>
          <w:sz w:val="18"/>
          <w:szCs w:val="18"/>
        </w:rPr>
        <w:t>— Quedan sometidas a las disposiciones de esta ley todas las personas físicas o jurídicas públicas o privadas, con o sin fines de lucro que realicen actividades económicas en todo o en parte del territorio nacional, y las que realicen actividades económicas fuera del país, en la medida en que sus actos, actividades o acuerdos puedan producir efectos en el mercado nacional.</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los efectos de esta ley, para determinar la verdadera naturaleza de los actos o conductas y acuerdos, atenderá a las situaciones y relaciones económicas que efectivamente se realicen, persigan o establezcan.</w:t>
      </w:r>
    </w:p>
    <w:p w:rsidR="007678D5" w:rsidRDefault="007678D5" w:rsidP="007678D5">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CAPITULO II</w:t>
      </w:r>
    </w:p>
    <w:p w:rsidR="007678D5" w:rsidRDefault="007678D5" w:rsidP="007678D5">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DE LA POSICION DOMINANTE</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4º</w:t>
      </w:r>
      <w:r>
        <w:rPr>
          <w:rStyle w:val="apple-converted-space"/>
          <w:rFonts w:ascii="Verdana" w:hAnsi="Verdana"/>
          <w:b/>
          <w:bCs/>
          <w:color w:val="000000"/>
          <w:sz w:val="18"/>
          <w:szCs w:val="18"/>
        </w:rPr>
        <w:t> </w:t>
      </w:r>
      <w:r>
        <w:rPr>
          <w:rFonts w:ascii="Verdana" w:hAnsi="Verdana"/>
          <w:color w:val="000000"/>
          <w:sz w:val="18"/>
          <w:szCs w:val="18"/>
        </w:rPr>
        <w:t>—A los efectos de esta ley se entiende que una o más personas goza de posición dominante cuando para un determinado tipo de producto o servicio es la única oferente o demandante dentro del mercado nacional o en una o varias partes del mundo o, cuando sin ser única, no está expuesta a una competencia sustancial o, cuando por el grado de integración vertical u horizontal está en condiciones de determinar la viabilidad económica de un competidor participante en el mercado, en perjuicio de éstos.</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lastRenderedPageBreak/>
        <w:t>ARTICULO 5º</w:t>
      </w:r>
      <w:r>
        <w:rPr>
          <w:rStyle w:val="apple-converted-space"/>
          <w:rFonts w:ascii="Verdana" w:hAnsi="Verdana"/>
          <w:b/>
          <w:bCs/>
          <w:color w:val="000000"/>
          <w:sz w:val="18"/>
          <w:szCs w:val="18"/>
        </w:rPr>
        <w:t> </w:t>
      </w:r>
      <w:r>
        <w:rPr>
          <w:rFonts w:ascii="Verdana" w:hAnsi="Verdana"/>
          <w:color w:val="000000"/>
          <w:sz w:val="18"/>
          <w:szCs w:val="18"/>
        </w:rPr>
        <w:t>— A fin de establecer la existencia de posición dominante en un mercado, deberán considerarse las siguientes circunstancias:</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El grado en que el bien o servicio de que se trate, es sustituible por otros, ya sea de origen nacional como extranjero; las condiciones de tal sustitución y el tiempo requerido para la misma;</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 El grado en que las restricciones normativas limiten el acceso de productos u oferentes o demandantes al mercado de que se trate;</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c) El grado en que el presunto responsable pueda influir unilateralmente en la formación de precios o restringir al abastecimiento o demanda en el mercado y el grado en que sus competidores puedan contrarrestar dicho poder.</w:t>
      </w:r>
    </w:p>
    <w:p w:rsidR="007678D5" w:rsidRDefault="007678D5" w:rsidP="007678D5">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CAPITULO III</w:t>
      </w:r>
    </w:p>
    <w:p w:rsidR="007678D5" w:rsidRDefault="007678D5" w:rsidP="007678D5">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DE LAS CONCENTRACIONES Y FUSIONES</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6º</w:t>
      </w:r>
      <w:r>
        <w:rPr>
          <w:rStyle w:val="apple-converted-space"/>
          <w:rFonts w:ascii="Verdana" w:hAnsi="Verdana"/>
          <w:b/>
          <w:bCs/>
          <w:color w:val="000000"/>
          <w:sz w:val="18"/>
          <w:szCs w:val="18"/>
        </w:rPr>
        <w:t> </w:t>
      </w:r>
      <w:r>
        <w:rPr>
          <w:rFonts w:ascii="Verdana" w:hAnsi="Verdana"/>
          <w:color w:val="000000"/>
          <w:sz w:val="18"/>
          <w:szCs w:val="18"/>
        </w:rPr>
        <w:t>— A los efectos de esta ley se entiende por concentración económica la toma de control de una o varias empresas, a través de realización de los siguientes actos:</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La fusión entre empresas;</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 La transferencia de fondos de comercio;</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c) La adquisición de la propiedad o cualquier derecho sobre acciones o participaciones de capital o títulos de deuda que den cualquier tipo de derecho a ser convertidos en acciones o participaciones de capital o a tener cualquier tipo de influencia en las decisiones de la persona que los emita cuando tal adquisición otorgue al adquirente el control de, o la influencia sustancial sobre misma;</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d) Cualquier otro acuerdo o acto que transfiera en forma fáctica o jurídica a una persona o grupo económico los activos de una empresa o le otorgue influencia determinante en la adopción de decisiones de administración ordinaria o extraordinaria de una empresa.</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7º</w:t>
      </w:r>
      <w:r>
        <w:rPr>
          <w:rStyle w:val="apple-converted-space"/>
          <w:rFonts w:ascii="Verdana" w:hAnsi="Verdana"/>
          <w:b/>
          <w:bCs/>
          <w:color w:val="000000"/>
          <w:sz w:val="18"/>
          <w:szCs w:val="18"/>
        </w:rPr>
        <w:t> </w:t>
      </w:r>
      <w:r>
        <w:rPr>
          <w:rFonts w:ascii="Verdana" w:hAnsi="Verdana"/>
          <w:color w:val="000000"/>
          <w:sz w:val="18"/>
          <w:szCs w:val="18"/>
        </w:rPr>
        <w:t>— Se prohiben las concentraciones económicas cuyo objeto o efecto sea o pueda ser restringir o distorsionar la competencia, de modo que pueda resultar perjuicio para el interés económico general.</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i/>
          <w:iCs/>
          <w:color w:val="000000"/>
          <w:sz w:val="18"/>
          <w:szCs w:val="18"/>
        </w:rPr>
        <w:t>(Artículo sustituido por art. 1°</w:t>
      </w:r>
      <w:r>
        <w:rPr>
          <w:rStyle w:val="apple-converted-space"/>
          <w:rFonts w:ascii="Verdana" w:hAnsi="Verdana"/>
          <w:i/>
          <w:iCs/>
          <w:color w:val="000000"/>
          <w:sz w:val="18"/>
          <w:szCs w:val="18"/>
        </w:rPr>
        <w:t> </w:t>
      </w:r>
      <w:r>
        <w:rPr>
          <w:rFonts w:ascii="Verdana" w:hAnsi="Verdana"/>
          <w:color w:val="000000"/>
          <w:sz w:val="18"/>
          <w:szCs w:val="18"/>
        </w:rPr>
        <w:t>del</w:t>
      </w:r>
      <w:r>
        <w:rPr>
          <w:rStyle w:val="apple-converted-space"/>
          <w:rFonts w:ascii="Verdana" w:hAnsi="Verdana"/>
          <w:color w:val="000000"/>
          <w:sz w:val="18"/>
          <w:szCs w:val="18"/>
        </w:rPr>
        <w:t> </w:t>
      </w:r>
      <w:hyperlink r:id="rId5" w:history="1">
        <w:r>
          <w:rPr>
            <w:rStyle w:val="Hipervnculo"/>
            <w:rFonts w:ascii="Verdana" w:hAnsi="Verdana"/>
            <w:i/>
            <w:iCs/>
            <w:sz w:val="18"/>
            <w:szCs w:val="18"/>
          </w:rPr>
          <w:t>Decreto N° 396/2001</w:t>
        </w:r>
      </w:hyperlink>
      <w:r>
        <w:rPr>
          <w:rStyle w:val="apple-converted-space"/>
          <w:rFonts w:ascii="Verdana" w:hAnsi="Verdana"/>
          <w:i/>
          <w:iCs/>
          <w:color w:val="000000"/>
          <w:sz w:val="18"/>
          <w:szCs w:val="18"/>
        </w:rPr>
        <w:t> </w:t>
      </w:r>
      <w:r>
        <w:rPr>
          <w:rFonts w:ascii="Verdana" w:hAnsi="Verdana"/>
          <w:i/>
          <w:iCs/>
          <w:color w:val="000000"/>
          <w:sz w:val="18"/>
          <w:szCs w:val="18"/>
        </w:rPr>
        <w:t>B.O. 5/4/2001.- Vigencia a partir del 9/4/2001).</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8º</w:t>
      </w:r>
      <w:r>
        <w:rPr>
          <w:rStyle w:val="apple-converted-space"/>
          <w:rFonts w:ascii="Verdana" w:hAnsi="Verdana"/>
          <w:b/>
          <w:bCs/>
          <w:color w:val="000000"/>
          <w:sz w:val="18"/>
          <w:szCs w:val="18"/>
        </w:rPr>
        <w:t> </w:t>
      </w:r>
      <w:r>
        <w:rPr>
          <w:rFonts w:ascii="Verdana" w:hAnsi="Verdana"/>
          <w:color w:val="000000"/>
          <w:sz w:val="18"/>
          <w:szCs w:val="18"/>
        </w:rPr>
        <w:t>— Los actos indicados en el artículo 6° de esta Ley, cuando la suma del volumen de negocio total del conjunto de empresas afectadas supere en el país la suma de DOSCIENTOS MILLONES DE PESOS ($ 200.000.000), deberán ser notificadas para su examen previamente o en el plazo de una semana a partir de la fecha de la conclusión del acuerdo, de la publicación de la oferta de compra o de canje, o de la adquisición de una participación de control, ante el Tribunal de Defensa de la Competencia, contándose el plazo a partir del momento en que se produzca el primero de los acontecimientos citados, bajo apercibimiento, en caso de incumplimiento, de lo previsto en el artículo 46 inciso d). Los actos sólo producirán efectos entre las partes o en relación a terceros una vez cumplidas las previsiones de los artículos 13 y 14 de la presente ley, según corresponda.</w:t>
      </w:r>
      <w:r>
        <w:rPr>
          <w:rStyle w:val="apple-converted-space"/>
          <w:rFonts w:ascii="Verdana" w:hAnsi="Verdana"/>
          <w:color w:val="000000"/>
          <w:sz w:val="18"/>
          <w:szCs w:val="18"/>
        </w:rPr>
        <w:t> </w:t>
      </w:r>
      <w:r>
        <w:rPr>
          <w:rFonts w:ascii="Verdana" w:hAnsi="Verdana"/>
          <w:i/>
          <w:iCs/>
          <w:color w:val="000000"/>
          <w:sz w:val="18"/>
          <w:szCs w:val="18"/>
        </w:rPr>
        <w:t>(Párrafo sustituido por art. 2° del</w:t>
      </w:r>
      <w:r>
        <w:rPr>
          <w:rStyle w:val="apple-converted-space"/>
          <w:rFonts w:ascii="Verdana" w:hAnsi="Verdana"/>
          <w:i/>
          <w:iCs/>
          <w:color w:val="000000"/>
          <w:sz w:val="18"/>
          <w:szCs w:val="18"/>
        </w:rPr>
        <w:t> </w:t>
      </w:r>
      <w:hyperlink r:id="rId6" w:history="1">
        <w:r>
          <w:rPr>
            <w:rStyle w:val="Hipervnculo"/>
            <w:rFonts w:ascii="Verdana" w:hAnsi="Verdana"/>
            <w:i/>
            <w:iCs/>
            <w:sz w:val="18"/>
            <w:szCs w:val="18"/>
          </w:rPr>
          <w:t>Decreto N° 396/2001</w:t>
        </w:r>
      </w:hyperlink>
      <w:r>
        <w:rPr>
          <w:rStyle w:val="apple-converted-space"/>
          <w:rFonts w:ascii="Verdana" w:hAnsi="Verdana"/>
          <w:i/>
          <w:iCs/>
          <w:color w:val="000000"/>
          <w:sz w:val="18"/>
          <w:szCs w:val="18"/>
        </w:rPr>
        <w:t> </w:t>
      </w:r>
      <w:r>
        <w:rPr>
          <w:rFonts w:ascii="Verdana" w:hAnsi="Verdana"/>
          <w:i/>
          <w:iCs/>
          <w:color w:val="000000"/>
          <w:sz w:val="18"/>
          <w:szCs w:val="18"/>
        </w:rPr>
        <w:t>B.O. 5/4/2001.- Vigencia a partir del 9/4/2001).</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lastRenderedPageBreak/>
        <w:t>A los efectos de la presente ley se entiende por volumen de negocios total los importes resultantes de la venta de productos y de la prestación de servicios realizados por las empresas afectadas durante el último ejercicio que correspondan a sus actividades ordinarias, previa deducción de los descuentos sobre ventas, así como del impuesto sobre el valor agregado y de otros impuestos directamente relacionados con el volumen de negocios.</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Para el cálculo del volumen de negocios de la empresa afectada se sumarán los volúmenes de negocios de las empresas siguientes:</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La empresa en cuestión;</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 Las empresas en las que la empresa en cuestión disponga, directa o indirectamente:</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1. De más de la mitad del capital o del capital circulante.</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2. Del poder de ejercer más de la mitad de los derechos de voto.</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3. Del poder de designar más de la mitad de los miembros del consejo de vigilancia o de administración o de los órganos que representen legalmente a la empresa, o</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4. Del derecho a dirigir las actividades de la empresa.</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c) Aquellas empresas que dispongan de los derechos o facultades enumerados en el inciso b) con respecto a una empresa afectada.</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d) Aquellas empresas en las que una empresa de las contempladas en el inciso c) disponga de los derechos o facultades enumerados en el inciso b).</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e) Las empresas en cuestión en las que varias empresas de las contempladas en los incisos a) a d) dispongan conjuntamente de los derechos o facultades enumerados en el inciso b).</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9º</w:t>
      </w:r>
      <w:r>
        <w:rPr>
          <w:rStyle w:val="apple-converted-space"/>
          <w:rFonts w:ascii="Verdana" w:hAnsi="Verdana"/>
          <w:b/>
          <w:bCs/>
          <w:color w:val="000000"/>
          <w:sz w:val="18"/>
          <w:szCs w:val="18"/>
        </w:rPr>
        <w:t> </w:t>
      </w:r>
      <w:r>
        <w:rPr>
          <w:rFonts w:ascii="Verdana" w:hAnsi="Verdana"/>
          <w:color w:val="000000"/>
          <w:sz w:val="18"/>
          <w:szCs w:val="18"/>
        </w:rPr>
        <w:t>— La falta de notificación de las operaciones previstas en el artículo anterior, será pasible de las sanciones establecidas en el artículo 46 inciso d).</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10.</w:t>
      </w:r>
      <w:r>
        <w:rPr>
          <w:rStyle w:val="apple-converted-space"/>
          <w:rFonts w:ascii="Verdana" w:hAnsi="Verdana"/>
          <w:b/>
          <w:bCs/>
          <w:color w:val="000000"/>
          <w:sz w:val="18"/>
          <w:szCs w:val="18"/>
        </w:rPr>
        <w:t> </w:t>
      </w:r>
      <w:r>
        <w:rPr>
          <w:rFonts w:ascii="Verdana" w:hAnsi="Verdana"/>
          <w:color w:val="000000"/>
          <w:sz w:val="18"/>
          <w:szCs w:val="18"/>
        </w:rPr>
        <w:t>— Se encuentran exentas de la notificación obligatoria prevista en el artículo anterior las siguientes operaciones:</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Las adquisiciones de empresas de las cuales el comprador ya poseía más del cincuenta por ciento (50%) de las acciones;</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 Las adquisiciones de bonos, debentures, acciones sin derecho a voto o títulos de deuda de empresas;</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c) Las adquisiciones de una única empresa por parte de una única empresa extranjera que no posea previamente activos o acciones de otras empresas en la Argentina;</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d) Adquisiciones de empresas liquidadas (que no hayan registrado actividad en el país en el último año).</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 xml:space="preserve">e) Las operaciones de concentración económica previstas en el artículo 6° que requieren notificación de acuerdo a lo previsto en el artículo 8°, cuando el </w:t>
      </w:r>
      <w:r>
        <w:rPr>
          <w:rFonts w:ascii="Verdana" w:hAnsi="Verdana"/>
          <w:color w:val="000000"/>
          <w:sz w:val="18"/>
          <w:szCs w:val="18"/>
        </w:rPr>
        <w:lastRenderedPageBreak/>
        <w:t>monto de la operación y el valor de los activos situados en la República Argentina que se absorban, adquieran, transfieran o se controlen no superen, cada uno de ellos, respectivamente, los VEINTE MILLONES DE PESOS ($ 20.000.000), salvo que en el plazo de doce meses anteriores se hubieran efectuado operaciones que en conjunto superen dicho importe, o el de SESENTA MILLONES DE PESOS ($ 60.000.000) en los últimos treinta y seis meses, siempre que en ambos casos se trate del mismo mercado.</w:t>
      </w:r>
      <w:r>
        <w:rPr>
          <w:rStyle w:val="apple-converted-space"/>
          <w:rFonts w:ascii="Verdana" w:hAnsi="Verdana"/>
          <w:color w:val="000000"/>
          <w:sz w:val="18"/>
          <w:szCs w:val="18"/>
        </w:rPr>
        <w:t> </w:t>
      </w:r>
      <w:r>
        <w:rPr>
          <w:rFonts w:ascii="Verdana" w:hAnsi="Verdana"/>
          <w:i/>
          <w:iCs/>
          <w:color w:val="000000"/>
          <w:sz w:val="18"/>
          <w:szCs w:val="18"/>
        </w:rPr>
        <w:t>(Inciso incorporado por art. 3° del</w:t>
      </w:r>
      <w:r>
        <w:rPr>
          <w:rStyle w:val="apple-converted-space"/>
          <w:rFonts w:ascii="Verdana" w:hAnsi="Verdana"/>
          <w:i/>
          <w:iCs/>
          <w:color w:val="000000"/>
          <w:sz w:val="18"/>
          <w:szCs w:val="18"/>
        </w:rPr>
        <w:t> </w:t>
      </w:r>
      <w:hyperlink r:id="rId7" w:history="1">
        <w:r>
          <w:rPr>
            <w:rStyle w:val="Hipervnculo"/>
            <w:rFonts w:ascii="Verdana" w:hAnsi="Verdana"/>
            <w:i/>
            <w:iCs/>
            <w:sz w:val="18"/>
            <w:szCs w:val="18"/>
          </w:rPr>
          <w:t>Decreto N° 396/2001</w:t>
        </w:r>
      </w:hyperlink>
      <w:r>
        <w:rPr>
          <w:rStyle w:val="apple-converted-space"/>
          <w:rFonts w:ascii="Verdana" w:hAnsi="Verdana"/>
          <w:i/>
          <w:iCs/>
          <w:color w:val="000000"/>
          <w:sz w:val="18"/>
          <w:szCs w:val="18"/>
        </w:rPr>
        <w:t> </w:t>
      </w:r>
      <w:r>
        <w:rPr>
          <w:rFonts w:ascii="Verdana" w:hAnsi="Verdana"/>
          <w:i/>
          <w:iCs/>
          <w:color w:val="000000"/>
          <w:sz w:val="18"/>
          <w:szCs w:val="18"/>
        </w:rPr>
        <w:t>B.O. 5/4/2001.- Vigencia a partir del 9/4/2001).</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11.</w:t>
      </w:r>
      <w:r>
        <w:rPr>
          <w:rStyle w:val="apple-converted-space"/>
          <w:rFonts w:ascii="Verdana" w:hAnsi="Verdana"/>
          <w:b/>
          <w:bCs/>
          <w:color w:val="000000"/>
          <w:sz w:val="18"/>
          <w:szCs w:val="18"/>
        </w:rPr>
        <w:t> </w:t>
      </w:r>
      <w:r>
        <w:rPr>
          <w:rFonts w:ascii="Verdana" w:hAnsi="Verdana"/>
          <w:color w:val="000000"/>
          <w:sz w:val="18"/>
          <w:szCs w:val="18"/>
        </w:rPr>
        <w:t>— El Tribunal Nacional de Defensa de la Competencia fijará con carácter general la información y antecedentes que las personas deberán proveer al Tribunal y los plazos en que dicha información y antecedentes deben ser provistos.</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12.</w:t>
      </w:r>
      <w:r>
        <w:rPr>
          <w:rStyle w:val="apple-converted-space"/>
          <w:rFonts w:ascii="Verdana" w:hAnsi="Verdana"/>
          <w:b/>
          <w:bCs/>
          <w:color w:val="000000"/>
          <w:sz w:val="18"/>
          <w:szCs w:val="18"/>
        </w:rPr>
        <w:t> </w:t>
      </w:r>
      <w:r>
        <w:rPr>
          <w:rFonts w:ascii="Verdana" w:hAnsi="Verdana"/>
          <w:color w:val="000000"/>
          <w:sz w:val="18"/>
          <w:szCs w:val="18"/>
        </w:rPr>
        <w:t>— La reglamentación establecerá la forma y contenido adicional de la notificación de los proyectos de concentración económica y operaciones de control de empresas de modo que se garantice el carácter confidencial de las mismas.</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13.</w:t>
      </w:r>
      <w:r>
        <w:rPr>
          <w:rStyle w:val="apple-converted-space"/>
          <w:rFonts w:ascii="Verdana" w:hAnsi="Verdana"/>
          <w:b/>
          <w:bCs/>
          <w:color w:val="000000"/>
          <w:sz w:val="18"/>
          <w:szCs w:val="18"/>
        </w:rPr>
        <w:t> </w:t>
      </w:r>
      <w:r>
        <w:rPr>
          <w:rFonts w:ascii="Verdana" w:hAnsi="Verdana"/>
          <w:color w:val="000000"/>
          <w:sz w:val="18"/>
          <w:szCs w:val="18"/>
        </w:rPr>
        <w:t>— En todos los casos sometidos a la notificación prevista en este capítulo, el Tribunal por resolución fundada, deberá decidir dentro de los cuarenta y cinco (45) días de presentada la solicitud y documentación respectiva:</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Autorizar la operación;</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 Subordinar el acto al cumplimiento de las condiciones que el mismo Tribunal establezca;</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c) Denegar la autorización.</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La solicitud de documentación adicional deberá efectuarse en un único acto por etapa, que suspenderá el cómputo del plazo por una sola vez durante su transcurso, salvo que fuere incompleta.</w:t>
      </w:r>
      <w:r>
        <w:rPr>
          <w:rStyle w:val="apple-converted-space"/>
          <w:rFonts w:ascii="Verdana" w:hAnsi="Verdana"/>
          <w:color w:val="000000"/>
          <w:sz w:val="18"/>
          <w:szCs w:val="18"/>
        </w:rPr>
        <w:t> </w:t>
      </w:r>
      <w:r>
        <w:rPr>
          <w:rFonts w:ascii="Verdana" w:hAnsi="Verdana"/>
          <w:i/>
          <w:iCs/>
          <w:color w:val="000000"/>
          <w:sz w:val="18"/>
          <w:szCs w:val="18"/>
        </w:rPr>
        <w:t>(Párrafo incorporado por art. 4°</w:t>
      </w:r>
      <w:r>
        <w:rPr>
          <w:rStyle w:val="apple-converted-space"/>
          <w:rFonts w:ascii="Verdana" w:hAnsi="Verdana"/>
          <w:color w:val="000000"/>
          <w:sz w:val="18"/>
          <w:szCs w:val="18"/>
        </w:rPr>
        <w:t> </w:t>
      </w:r>
      <w:r>
        <w:rPr>
          <w:rFonts w:ascii="Verdana" w:hAnsi="Verdana"/>
          <w:i/>
          <w:iCs/>
          <w:color w:val="000000"/>
          <w:sz w:val="18"/>
          <w:szCs w:val="18"/>
        </w:rPr>
        <w:t>del</w:t>
      </w:r>
      <w:r>
        <w:rPr>
          <w:rStyle w:val="apple-converted-space"/>
          <w:rFonts w:ascii="Verdana" w:hAnsi="Verdana"/>
          <w:i/>
          <w:iCs/>
          <w:color w:val="000000"/>
          <w:sz w:val="18"/>
          <w:szCs w:val="18"/>
        </w:rPr>
        <w:t> </w:t>
      </w:r>
      <w:hyperlink r:id="rId8" w:history="1">
        <w:r>
          <w:rPr>
            <w:rStyle w:val="Hipervnculo"/>
            <w:rFonts w:ascii="Verdana" w:hAnsi="Verdana"/>
            <w:i/>
            <w:iCs/>
            <w:sz w:val="18"/>
            <w:szCs w:val="18"/>
          </w:rPr>
          <w:t>Decreto N° 396/2001</w:t>
        </w:r>
      </w:hyperlink>
      <w:r>
        <w:rPr>
          <w:rStyle w:val="apple-converted-space"/>
          <w:rFonts w:ascii="Verdana" w:hAnsi="Verdana"/>
          <w:i/>
          <w:iCs/>
          <w:color w:val="000000"/>
          <w:sz w:val="18"/>
          <w:szCs w:val="18"/>
        </w:rPr>
        <w:t> </w:t>
      </w:r>
      <w:r>
        <w:rPr>
          <w:rFonts w:ascii="Verdana" w:hAnsi="Verdana"/>
          <w:i/>
          <w:iCs/>
          <w:color w:val="000000"/>
          <w:sz w:val="18"/>
          <w:szCs w:val="18"/>
        </w:rPr>
        <w:t>B.O. 5/4/2001.- Vigencia a partir del 9/4/2001).</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14.</w:t>
      </w:r>
      <w:r>
        <w:rPr>
          <w:rStyle w:val="apple-converted-space"/>
          <w:rFonts w:ascii="Verdana" w:hAnsi="Verdana"/>
          <w:b/>
          <w:bCs/>
          <w:color w:val="000000"/>
          <w:sz w:val="18"/>
          <w:szCs w:val="18"/>
        </w:rPr>
        <w:t> </w:t>
      </w:r>
      <w:r>
        <w:rPr>
          <w:rFonts w:ascii="Verdana" w:hAnsi="Verdana"/>
          <w:color w:val="000000"/>
          <w:sz w:val="18"/>
          <w:szCs w:val="18"/>
        </w:rPr>
        <w:t>— Transcurrido el plazo previsto en el artículo anterior sin mediar resolución al respecto, la operación se tendrá por autorizada tácitamente. La autorización tácita producirá en todos los casos los mismos efectos legales que la autorización expresa.</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15.</w:t>
      </w:r>
      <w:r>
        <w:rPr>
          <w:rStyle w:val="apple-converted-space"/>
          <w:rFonts w:ascii="Verdana" w:hAnsi="Verdana"/>
          <w:b/>
          <w:bCs/>
          <w:color w:val="000000"/>
          <w:sz w:val="18"/>
          <w:szCs w:val="18"/>
        </w:rPr>
        <w:t> </w:t>
      </w:r>
      <w:r>
        <w:rPr>
          <w:rFonts w:ascii="Verdana" w:hAnsi="Verdana"/>
          <w:color w:val="000000"/>
          <w:sz w:val="18"/>
          <w:szCs w:val="18"/>
        </w:rPr>
        <w:t>— Las concentraciones que hayan sido notificadas y autorizadas no podrán ser impugnadas posteriormente en sede administrativa en base a información y documentación verificada por el Tribunal, salvo cuando dicha resolución se hubiera obtenido en base a información falsa o incompleta proporcionada por el solicitante.</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16.</w:t>
      </w:r>
      <w:r>
        <w:rPr>
          <w:rStyle w:val="apple-converted-space"/>
          <w:rFonts w:ascii="Verdana" w:hAnsi="Verdana"/>
          <w:b/>
          <w:bCs/>
          <w:color w:val="000000"/>
          <w:sz w:val="18"/>
          <w:szCs w:val="18"/>
        </w:rPr>
        <w:t> </w:t>
      </w:r>
      <w:r>
        <w:rPr>
          <w:rFonts w:ascii="Verdana" w:hAnsi="Verdana"/>
          <w:color w:val="000000"/>
          <w:sz w:val="18"/>
          <w:szCs w:val="18"/>
        </w:rPr>
        <w:t>— Cuando la concentración económica involucre a empresas o personas cuya actividad económica esté reglada por el Estado nacional a través de un organismo de control regulador, el Tribunal Nacional de Defensa de Competencia, previo al dictado de su resolución, deberá requerir a dicho ente estatal un informe opinión fundada sobre la propuesta de concentración económica en cuanto al impacto sobre la competencia en el mercado respectivo o sobre el cumplimiento del marco regulatorio respectivo.</w:t>
      </w:r>
      <w:r>
        <w:rPr>
          <w:rStyle w:val="apple-converted-space"/>
          <w:rFonts w:ascii="Verdana" w:hAnsi="Verdana"/>
          <w:color w:val="000000"/>
          <w:sz w:val="18"/>
          <w:szCs w:val="18"/>
        </w:rPr>
        <w:t> </w:t>
      </w:r>
      <w:r>
        <w:rPr>
          <w:rFonts w:ascii="Verdana" w:hAnsi="Verdana"/>
          <w:b/>
          <w:bCs/>
          <w:color w:val="000000"/>
          <w:sz w:val="18"/>
          <w:szCs w:val="18"/>
        </w:rPr>
        <w:t>El ente estatal deberá pronunciarse en el término máximo de noventa (90) días, transcurrido dicho plazo se entenderá que el mismo no objeta operación.</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lastRenderedPageBreak/>
        <w:t>La opinión se requerirá dentro de los (TRES) 3 días de efectuada la solicitud. El plazo para su contestación será de (QUINCE) 15 días, y no suspenderá el plazo del artículo 13.</w:t>
      </w:r>
      <w:r>
        <w:rPr>
          <w:rStyle w:val="apple-converted-space"/>
          <w:rFonts w:ascii="Verdana" w:hAnsi="Verdana"/>
          <w:color w:val="000000"/>
          <w:sz w:val="18"/>
          <w:szCs w:val="18"/>
        </w:rPr>
        <w:t> </w:t>
      </w:r>
      <w:r>
        <w:rPr>
          <w:rFonts w:ascii="Verdana" w:hAnsi="Verdana"/>
          <w:i/>
          <w:iCs/>
          <w:color w:val="000000"/>
          <w:sz w:val="18"/>
          <w:szCs w:val="18"/>
        </w:rPr>
        <w:t>(Párrafo incorporado por art. 5°</w:t>
      </w:r>
      <w:r>
        <w:rPr>
          <w:rStyle w:val="apple-converted-space"/>
          <w:rFonts w:ascii="Verdana" w:hAnsi="Verdana"/>
          <w:color w:val="000000"/>
          <w:sz w:val="18"/>
          <w:szCs w:val="18"/>
        </w:rPr>
        <w:t> </w:t>
      </w:r>
      <w:r>
        <w:rPr>
          <w:rFonts w:ascii="Verdana" w:hAnsi="Verdana"/>
          <w:i/>
          <w:iCs/>
          <w:color w:val="000000"/>
          <w:sz w:val="18"/>
          <w:szCs w:val="18"/>
        </w:rPr>
        <w:t>del</w:t>
      </w:r>
      <w:r>
        <w:rPr>
          <w:rStyle w:val="apple-converted-space"/>
          <w:rFonts w:ascii="Verdana" w:hAnsi="Verdana"/>
          <w:i/>
          <w:iCs/>
          <w:color w:val="000000"/>
          <w:sz w:val="18"/>
          <w:szCs w:val="18"/>
        </w:rPr>
        <w:t> </w:t>
      </w:r>
      <w:hyperlink r:id="rId9" w:history="1">
        <w:r>
          <w:rPr>
            <w:rStyle w:val="Hipervnculo"/>
            <w:rFonts w:ascii="Verdana" w:hAnsi="Verdana"/>
            <w:i/>
            <w:iCs/>
            <w:sz w:val="18"/>
            <w:szCs w:val="18"/>
          </w:rPr>
          <w:t>Decreto N° 396/2001</w:t>
        </w:r>
      </w:hyperlink>
      <w:r>
        <w:rPr>
          <w:rStyle w:val="apple-converted-space"/>
          <w:rFonts w:ascii="Verdana" w:hAnsi="Verdana"/>
          <w:i/>
          <w:iCs/>
          <w:color w:val="000000"/>
          <w:sz w:val="18"/>
          <w:szCs w:val="18"/>
        </w:rPr>
        <w:t> </w:t>
      </w:r>
      <w:r>
        <w:rPr>
          <w:rFonts w:ascii="Verdana" w:hAnsi="Verdana"/>
          <w:i/>
          <w:iCs/>
          <w:color w:val="000000"/>
          <w:sz w:val="18"/>
          <w:szCs w:val="18"/>
        </w:rPr>
        <w:t>B.O. 5/4/2001.- Vigencia a partir del 9/4/2001).</w:t>
      </w:r>
    </w:p>
    <w:p w:rsidR="007678D5" w:rsidRDefault="007678D5" w:rsidP="007678D5">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CAPITULO IV</w:t>
      </w:r>
    </w:p>
    <w:p w:rsidR="007678D5" w:rsidRDefault="007678D5" w:rsidP="007678D5">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AUTORIDAD DE APLICACION</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17.</w:t>
      </w:r>
      <w:r>
        <w:rPr>
          <w:rStyle w:val="apple-converted-space"/>
          <w:rFonts w:ascii="Verdana" w:hAnsi="Verdana"/>
          <w:b/>
          <w:bCs/>
          <w:color w:val="000000"/>
          <w:sz w:val="18"/>
          <w:szCs w:val="18"/>
        </w:rPr>
        <w:t> </w:t>
      </w:r>
      <w:r>
        <w:rPr>
          <w:rFonts w:ascii="Verdana" w:hAnsi="Verdana"/>
          <w:color w:val="000000"/>
          <w:sz w:val="18"/>
          <w:szCs w:val="18"/>
        </w:rPr>
        <w:t>— Créase el Tribunal Nacional de Defensa de la Competencia como organismo autárquico en el ámbito del Ministerio de Economía y Obras y Servicios Públicos de la Nación con el fin de aplicar y controlar el cumplimiento de esta ley. Tendrá su sede en la Ciudad de Buenos Aires pero podrá actuar, constituirse sesionar en cualquier lugar de la República mediante delegados que designe el Presidente del Tribunal. Los delegados instructores podrán ser funcionarios nacionales, provinciales o municipales.</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18.</w:t>
      </w:r>
      <w:r>
        <w:rPr>
          <w:rStyle w:val="apple-converted-space"/>
          <w:rFonts w:ascii="Verdana" w:hAnsi="Verdana"/>
          <w:b/>
          <w:bCs/>
          <w:color w:val="000000"/>
          <w:sz w:val="18"/>
          <w:szCs w:val="18"/>
        </w:rPr>
        <w:t> </w:t>
      </w:r>
      <w:r>
        <w:rPr>
          <w:rFonts w:ascii="Verdana" w:hAnsi="Verdana"/>
          <w:color w:val="000000"/>
          <w:sz w:val="18"/>
          <w:szCs w:val="18"/>
        </w:rPr>
        <w:t>— El Tribunal Nacional de Defensa de la Competencia estará integrado por siete (7) miembros con suficientes antecedentes e idoneidad para ejercer el cargo, de los cuales dos por lo menos serán abogados y otros dos profesionales en ciencias económicas, todos ellos con más de cinco (5) años en el ejercicio de la profesión. Los miembros del tribunal tendrán dedicación exclusiva durante su mandato, con excepción de la actividad docente.</w:t>
      </w:r>
    </w:p>
    <w:p w:rsidR="007678D5" w:rsidRDefault="007678D5" w:rsidP="007678D5">
      <w:pPr>
        <w:pStyle w:val="NormalWeb"/>
        <w:spacing w:before="150" w:beforeAutospacing="0" w:after="300" w:afterAutospacing="0"/>
        <w:ind w:left="600" w:right="600"/>
        <w:rPr>
          <w:rFonts w:ascii="Verdana" w:hAnsi="Verdana"/>
          <w:b/>
          <w:bCs/>
          <w:color w:val="000000"/>
          <w:sz w:val="18"/>
          <w:szCs w:val="18"/>
        </w:rPr>
      </w:pPr>
      <w:r>
        <w:rPr>
          <w:rFonts w:ascii="Verdana" w:hAnsi="Verdana"/>
          <w:b/>
          <w:bCs/>
          <w:color w:val="000000"/>
          <w:sz w:val="18"/>
          <w:szCs w:val="18"/>
        </w:rPr>
        <w:t>Los integrantes del Tribunal deberán excusarse por las causas previstas en los incisos 1), 2), 3), 4), 5), 7), 8), 9 y 10) del artículo 16 del Código Procesal Civil y Comercial de la Nación.</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19.</w:t>
      </w:r>
      <w:r>
        <w:rPr>
          <w:rStyle w:val="apple-converted-space"/>
          <w:rFonts w:ascii="Verdana" w:hAnsi="Verdana"/>
          <w:b/>
          <w:bCs/>
          <w:color w:val="000000"/>
          <w:sz w:val="18"/>
          <w:szCs w:val="18"/>
        </w:rPr>
        <w:t> </w:t>
      </w:r>
      <w:r>
        <w:rPr>
          <w:rFonts w:ascii="Verdana" w:hAnsi="Verdana"/>
          <w:color w:val="000000"/>
          <w:sz w:val="18"/>
          <w:szCs w:val="18"/>
        </w:rPr>
        <w:t>— Los miembros del Tribunal serán designados por el Poder Ejecutivo nacional previo concurso público de antecedentes y oposición ante un Jurado integrante por el procurador del Tesoro de la Nación, el secretario de Industria, Comercio y Minería del Ministerio de Economía Obras y Servicios Públicos de la Nación, los presidentes de las comisiones de Comercio de ambas Cámaras del Poder Legislativo de la Nación, el presidente de la Cámara Nacional de Apelaciones en lo Comercial y los presidentes de la Academia Nacional de Derecho y de la Academia Nacional de Ciencias Económicas.</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20.</w:t>
      </w:r>
      <w:r>
        <w:rPr>
          <w:rStyle w:val="apple-converted-space"/>
          <w:rFonts w:ascii="Verdana" w:hAnsi="Verdana"/>
          <w:b/>
          <w:bCs/>
          <w:color w:val="000000"/>
          <w:sz w:val="18"/>
          <w:szCs w:val="18"/>
        </w:rPr>
        <w:t> </w:t>
      </w:r>
      <w:r>
        <w:rPr>
          <w:rFonts w:ascii="Verdana" w:hAnsi="Verdana"/>
          <w:color w:val="000000"/>
          <w:sz w:val="18"/>
          <w:szCs w:val="18"/>
        </w:rPr>
        <w:t>— Los miembros del Tribunal durarán en el ejercicio de sus funciones seis (6) años. La renovación de los mismos se hará parcialmente cada tres años y podrán ser reelegidos por los procedimientos establecidos en el artículo anterior. Al finalizar los tres primeros años se renovarán tres miembros y al finalizar los otros tres años, los cuatro miembros restantes. Sólo podrán ser removidos previa decisión —por mayoría simple— del Jurado mencionado en el artículo anterior.</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La causa por remoción se formará obligatoriamente si existe acusación del Poder Ejecutivo nacional o del presidente del Tribunal y sólo por decisión del Jurado si la causa tuviera cualquier otro origen.</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El Jurado dictará normas de procedimiento que aseguren el derecho de defensa y el debido trámite de la causa.</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21.</w:t>
      </w:r>
      <w:r>
        <w:rPr>
          <w:rStyle w:val="apple-converted-space"/>
          <w:rFonts w:ascii="Verdana" w:hAnsi="Verdana"/>
          <w:b/>
          <w:bCs/>
          <w:color w:val="000000"/>
          <w:sz w:val="18"/>
          <w:szCs w:val="18"/>
        </w:rPr>
        <w:t> </w:t>
      </w:r>
      <w:r>
        <w:rPr>
          <w:rFonts w:ascii="Verdana" w:hAnsi="Verdana"/>
          <w:color w:val="000000"/>
          <w:sz w:val="18"/>
          <w:szCs w:val="18"/>
        </w:rPr>
        <w:t>— Son causas de remoción los miembros del tribunal:</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Mal desempeño en sus funciones;</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 Negligencia reiterada que dilate la substanciación de los procesos;</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c) Incapacidad sobreviniente;</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lastRenderedPageBreak/>
        <w:t>d) Condena por delito doloso;</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e) Violaciones de las normas sobre incompatibilidad;</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f) No excusarse en los presupuestos previstos por el Código Procesal Civil y Comercial de Nación.</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22.</w:t>
      </w:r>
      <w:r>
        <w:rPr>
          <w:rStyle w:val="apple-converted-space"/>
          <w:rFonts w:ascii="Verdana" w:hAnsi="Verdana"/>
          <w:b/>
          <w:bCs/>
          <w:color w:val="000000"/>
          <w:sz w:val="18"/>
          <w:szCs w:val="18"/>
        </w:rPr>
        <w:t> </w:t>
      </w:r>
      <w:r>
        <w:rPr>
          <w:rFonts w:ascii="Verdana" w:hAnsi="Verdana"/>
          <w:color w:val="000000"/>
          <w:sz w:val="18"/>
          <w:szCs w:val="18"/>
        </w:rPr>
        <w:t>— Será suspendido preventivamente y en forma inmediata en el ejercicio de sus funciones aquel integrante del Tribunal sobre el que recaiga auto de procesamiento por delito doloso.</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23.</w:t>
      </w:r>
      <w:r>
        <w:rPr>
          <w:rStyle w:val="apple-converted-space"/>
          <w:rFonts w:ascii="Verdana" w:hAnsi="Verdana"/>
          <w:b/>
          <w:bCs/>
          <w:color w:val="000000"/>
          <w:sz w:val="18"/>
          <w:szCs w:val="18"/>
        </w:rPr>
        <w:t> </w:t>
      </w:r>
      <w:r>
        <w:rPr>
          <w:rFonts w:ascii="Verdana" w:hAnsi="Verdana"/>
          <w:color w:val="000000"/>
          <w:sz w:val="18"/>
          <w:szCs w:val="18"/>
        </w:rPr>
        <w:t>— Créase en el ámbito del Tribunal Nacional de Defensa de la Competencia Registro Nacional de Defensa de la Competencia, en el que deberán inscribirse las operaciones de concentración económica previstas en el Capítulo III y las resoluciones definitivas dictadas por el Tribunal. El Registro será público.</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24.</w:t>
      </w:r>
      <w:r>
        <w:rPr>
          <w:rStyle w:val="apple-converted-space"/>
          <w:rFonts w:ascii="Verdana" w:hAnsi="Verdana"/>
          <w:b/>
          <w:bCs/>
          <w:color w:val="000000"/>
          <w:sz w:val="18"/>
          <w:szCs w:val="18"/>
        </w:rPr>
        <w:t> </w:t>
      </w:r>
      <w:r>
        <w:rPr>
          <w:rFonts w:ascii="Verdana" w:hAnsi="Verdana"/>
          <w:color w:val="000000"/>
          <w:sz w:val="18"/>
          <w:szCs w:val="18"/>
        </w:rPr>
        <w:t>— Son funciones y facultades del Tribunal Nacional de Defensa de la Competencia:</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Realizar los estudios e investigaciones de mercado que considere pertinentes. Para ello podrá requerir a los particulares y autoridades nacionales, provinciales o municipales, y a las asociaciones de Defensa de Consumidores y de los usuarios, la documentación y colaboración que juzgue necesarias;</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 Celebrar audiencias con los presuntos responsables, denunciantes, damnificados, testigos y peritos, recibirles declaración y ordenar careos, para lo cual podrá solicitar el auxilio de la fuerza pública;</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c) Realizar las pericias necesarias sobre libros, documentos y demás elementos conducentes la investigación, controlar existencias, comprobar orígenes y costos de materias primas u otros bienes;</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d) Imponer las sanciones establecidas en la presente ley;</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e) Promover el estudio y la investigación en materia de competencia;</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f) Cuando lo considere pertinente emitir opinión en materia de competencia y libre concurrencia respecto de leyes, reglamentos, circulares y actos administrativos, sin que tales opiniones tengan efecto vinculante;</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g) Emitir recomendaciones de carácter general o sectorial respecto a las modalidades de la competencia en los mercados;</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h) Actuar con las dependencias competentes en la negociación de tratados, acuerdos o convenios internacionales en materia de regulación políticas de competencia y libre concurrencia;</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i) Elaborar su reglamento interno, que establecerá, entre otras cuestiones, modo de elección plazo del mandato del presidente, quien ejerce representación legal del Tribunal;</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j) Organizar el Registro Nacional de la Competencia creado por esta ley;</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k) Promover e instar acciones ante la Justicia, para lo cual designará representante legal a tal efecto;</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lastRenderedPageBreak/>
        <w:t>l) Suspender los plazos procesales de la presente ley por resolución fundada;</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ll) Acceder a los lugares objeto de inspección con el consentimiento de los ocupantes o mediante orden judicial la que será solicitada por el Tribunal ante el juez competente, quien deberá resolver en el plazo de 24 horas;</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m) Solicitar al juez competente las medidas cautelares que estime pertinentes, las que deberán ser resueltas en el plazo de 24 horas;</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n) Suscribir convenios con organismos provinciales o municipales para la habilitación de oficinas receptoras de denuncias en las provincias;</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ñ) Al presidente del Tribunal le compete ejercer la función administrativa del organismo y podrá efectuar contrataciones de personal para la realización de trabajos específicos o extraordinarios que no puedan ser realizados por su planta permanente, fijando las condiciones de trabajo y su retribución. Las disposiciones de la ley, de contrato de trabajo regirán la relación con el personal de la planta permanente.</w:t>
      </w:r>
    </w:p>
    <w:p w:rsidR="007678D5" w:rsidRDefault="007678D5" w:rsidP="007678D5">
      <w:pPr>
        <w:pStyle w:val="NormalWeb"/>
        <w:spacing w:before="150" w:beforeAutospacing="0" w:after="300" w:afterAutospacing="0"/>
        <w:ind w:left="600" w:right="600"/>
        <w:rPr>
          <w:rFonts w:ascii="Verdana" w:hAnsi="Verdana"/>
          <w:b/>
          <w:bCs/>
          <w:color w:val="000000"/>
          <w:sz w:val="18"/>
          <w:szCs w:val="18"/>
        </w:rPr>
      </w:pPr>
      <w:r>
        <w:rPr>
          <w:rFonts w:ascii="Verdana" w:hAnsi="Verdana"/>
          <w:b/>
          <w:bCs/>
          <w:color w:val="000000"/>
          <w:sz w:val="18"/>
          <w:szCs w:val="18"/>
        </w:rPr>
        <w:t>o) Propiciar soluciones consensuadas entre las partes;</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p) Suscribir convenios con asociaciones de usuarios y consumidores para la promoción de la participación de las asociaciones de la comunidad en la defensa de la competencia y la transparencia de los mercados.</w:t>
      </w:r>
    </w:p>
    <w:p w:rsidR="007678D5" w:rsidRDefault="007678D5" w:rsidP="007678D5">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CAPITULO V</w:t>
      </w:r>
    </w:p>
    <w:p w:rsidR="007678D5" w:rsidRDefault="007678D5" w:rsidP="007678D5">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DEL PRESUPUESTO</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25.</w:t>
      </w:r>
      <w:r>
        <w:rPr>
          <w:rStyle w:val="apple-converted-space"/>
          <w:rFonts w:ascii="Verdana" w:hAnsi="Verdana"/>
          <w:b/>
          <w:bCs/>
          <w:color w:val="000000"/>
          <w:sz w:val="18"/>
          <w:szCs w:val="18"/>
        </w:rPr>
        <w:t> </w:t>
      </w:r>
      <w:r>
        <w:rPr>
          <w:rFonts w:ascii="Verdana" w:hAnsi="Verdana"/>
          <w:color w:val="000000"/>
          <w:sz w:val="18"/>
          <w:szCs w:val="18"/>
        </w:rPr>
        <w:t>— El Tribunal Nacional de Defensa de la Competencia formulará anualmente el proyecto de presupuesto para su posterior elevación al Poder Ejecutivo nacional.</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El Tribunal establecerá la fijación de aranceles que deberán abonar los interesados por las actuaciones que inicien ante el mismo. Su producido será destinado a sufragar los gastos ordinarios del organismo.</w:t>
      </w:r>
    </w:p>
    <w:p w:rsidR="007678D5" w:rsidRDefault="007678D5" w:rsidP="007678D5">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CAPITULO VI</w:t>
      </w:r>
    </w:p>
    <w:p w:rsidR="007678D5" w:rsidRDefault="007678D5" w:rsidP="007678D5">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DEL PROCEDIMIENTO</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26.</w:t>
      </w:r>
      <w:r>
        <w:rPr>
          <w:rStyle w:val="apple-converted-space"/>
          <w:rFonts w:ascii="Verdana" w:hAnsi="Verdana"/>
          <w:b/>
          <w:bCs/>
          <w:color w:val="000000"/>
          <w:sz w:val="18"/>
          <w:szCs w:val="18"/>
        </w:rPr>
        <w:t> </w:t>
      </w:r>
      <w:r>
        <w:rPr>
          <w:rFonts w:ascii="Verdana" w:hAnsi="Verdana"/>
          <w:color w:val="000000"/>
          <w:sz w:val="18"/>
          <w:szCs w:val="18"/>
        </w:rPr>
        <w:t>— El procedimiento se iniciará de oficio o por denuncia realizada por cualquier persona física o jurídica, pública o privada.</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27.</w:t>
      </w:r>
      <w:r>
        <w:rPr>
          <w:rStyle w:val="apple-converted-space"/>
          <w:rFonts w:ascii="Verdana" w:hAnsi="Verdana"/>
          <w:b/>
          <w:bCs/>
          <w:color w:val="000000"/>
          <w:sz w:val="18"/>
          <w:szCs w:val="18"/>
        </w:rPr>
        <w:t> </w:t>
      </w:r>
      <w:r>
        <w:rPr>
          <w:rFonts w:ascii="Verdana" w:hAnsi="Verdana"/>
          <w:color w:val="000000"/>
          <w:sz w:val="18"/>
          <w:szCs w:val="18"/>
        </w:rPr>
        <w:t>— Todos los plazos de esta ley se contarán por días hábiles administrativos.</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28.</w:t>
      </w:r>
      <w:r>
        <w:rPr>
          <w:rStyle w:val="apple-converted-space"/>
          <w:rFonts w:ascii="Verdana" w:hAnsi="Verdana"/>
          <w:b/>
          <w:bCs/>
          <w:color w:val="000000"/>
          <w:sz w:val="18"/>
          <w:szCs w:val="18"/>
        </w:rPr>
        <w:t> </w:t>
      </w:r>
      <w:r>
        <w:rPr>
          <w:rFonts w:ascii="Verdana" w:hAnsi="Verdana"/>
          <w:color w:val="000000"/>
          <w:sz w:val="18"/>
          <w:szCs w:val="18"/>
        </w:rPr>
        <w:t>— La denuncia deberá contener:</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El nombre y domicilio del presentante;</w:t>
      </w:r>
    </w:p>
    <w:p w:rsidR="007678D5" w:rsidRDefault="007678D5" w:rsidP="007678D5">
      <w:pPr>
        <w:pStyle w:val="NormalWeb"/>
        <w:spacing w:before="150" w:beforeAutospacing="0" w:after="300" w:afterAutospacing="0"/>
        <w:ind w:left="600" w:right="600"/>
        <w:rPr>
          <w:rFonts w:ascii="Verdana" w:hAnsi="Verdana"/>
          <w:b/>
          <w:bCs/>
          <w:color w:val="000000"/>
          <w:sz w:val="18"/>
          <w:szCs w:val="18"/>
        </w:rPr>
      </w:pPr>
      <w:r>
        <w:rPr>
          <w:rFonts w:ascii="Verdana" w:hAnsi="Verdana"/>
          <w:b/>
          <w:bCs/>
          <w:color w:val="000000"/>
          <w:sz w:val="18"/>
          <w:szCs w:val="18"/>
        </w:rPr>
        <w:t>b) El nombre y domicilio del denunciante;</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c) El objeto de la denuncia, diciéndola con exactitud;</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d) Los hechos en que se funde, explicados claramente;</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lastRenderedPageBreak/>
        <w:t>e) El derecho expuesto suscintamente.</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29.</w:t>
      </w:r>
      <w:r>
        <w:rPr>
          <w:rStyle w:val="apple-converted-space"/>
          <w:rFonts w:ascii="Verdana" w:hAnsi="Verdana"/>
          <w:b/>
          <w:bCs/>
          <w:color w:val="000000"/>
          <w:sz w:val="18"/>
          <w:szCs w:val="18"/>
        </w:rPr>
        <w:t> </w:t>
      </w:r>
      <w:r>
        <w:rPr>
          <w:rFonts w:ascii="Verdana" w:hAnsi="Verdana"/>
          <w:color w:val="000000"/>
          <w:sz w:val="18"/>
          <w:szCs w:val="18"/>
        </w:rPr>
        <w:t>— Si el Tribunal estimare que la denuncia es pertinente correrá traslado por diez (10) días al presunto responsable para que dé las explicaciones que estime conducentes. En caso de que el procedimiento se iniciare de oficio se correrá traslado de la relación de los hechos y la fundamentación que lo motivaron.</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Se correrá traslado por el mismo plazo de la prueba ofrecida.</w:t>
      </w:r>
      <w:r>
        <w:rPr>
          <w:rStyle w:val="apple-converted-space"/>
          <w:rFonts w:ascii="Verdana" w:hAnsi="Verdana"/>
          <w:color w:val="000000"/>
          <w:sz w:val="18"/>
          <w:szCs w:val="18"/>
        </w:rPr>
        <w:t> </w:t>
      </w:r>
      <w:r>
        <w:rPr>
          <w:rFonts w:ascii="Verdana" w:hAnsi="Verdana"/>
          <w:i/>
          <w:iCs/>
          <w:color w:val="000000"/>
          <w:sz w:val="18"/>
          <w:szCs w:val="18"/>
        </w:rPr>
        <w:t>(Párrafo incorporado por art. 6°</w:t>
      </w:r>
      <w:r>
        <w:rPr>
          <w:rStyle w:val="apple-converted-space"/>
          <w:rFonts w:ascii="Verdana" w:hAnsi="Verdana"/>
          <w:color w:val="000000"/>
          <w:sz w:val="18"/>
          <w:szCs w:val="18"/>
        </w:rPr>
        <w:t> </w:t>
      </w:r>
      <w:r>
        <w:rPr>
          <w:rFonts w:ascii="Verdana" w:hAnsi="Verdana"/>
          <w:i/>
          <w:iCs/>
          <w:color w:val="000000"/>
          <w:sz w:val="18"/>
          <w:szCs w:val="18"/>
        </w:rPr>
        <w:t>del</w:t>
      </w:r>
      <w:r>
        <w:rPr>
          <w:rStyle w:val="apple-converted-space"/>
          <w:rFonts w:ascii="Verdana" w:hAnsi="Verdana"/>
          <w:i/>
          <w:iCs/>
          <w:color w:val="000000"/>
          <w:sz w:val="18"/>
          <w:szCs w:val="18"/>
        </w:rPr>
        <w:t> </w:t>
      </w:r>
      <w:hyperlink r:id="rId10" w:history="1">
        <w:r>
          <w:rPr>
            <w:rStyle w:val="Hipervnculo"/>
            <w:rFonts w:ascii="Verdana" w:hAnsi="Verdana"/>
            <w:i/>
            <w:iCs/>
            <w:sz w:val="18"/>
            <w:szCs w:val="18"/>
          </w:rPr>
          <w:t>Decreto N° 396/2001</w:t>
        </w:r>
      </w:hyperlink>
      <w:r>
        <w:rPr>
          <w:rStyle w:val="apple-converted-space"/>
          <w:rFonts w:ascii="Verdana" w:hAnsi="Verdana"/>
          <w:i/>
          <w:iCs/>
          <w:color w:val="000000"/>
          <w:sz w:val="18"/>
          <w:szCs w:val="18"/>
        </w:rPr>
        <w:t> </w:t>
      </w:r>
      <w:r>
        <w:rPr>
          <w:rFonts w:ascii="Verdana" w:hAnsi="Verdana"/>
          <w:i/>
          <w:iCs/>
          <w:color w:val="000000"/>
          <w:sz w:val="18"/>
          <w:szCs w:val="18"/>
        </w:rPr>
        <w:t>B.O. 5/4/2001.- Vigencia a partir del 9/4/2001).</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30.</w:t>
      </w:r>
      <w:r>
        <w:rPr>
          <w:rStyle w:val="apple-converted-space"/>
          <w:rFonts w:ascii="Verdana" w:hAnsi="Verdana"/>
          <w:b/>
          <w:bCs/>
          <w:color w:val="000000"/>
          <w:sz w:val="18"/>
          <w:szCs w:val="18"/>
        </w:rPr>
        <w:t> </w:t>
      </w:r>
      <w:r>
        <w:rPr>
          <w:rFonts w:ascii="Verdana" w:hAnsi="Verdana"/>
          <w:color w:val="000000"/>
          <w:sz w:val="18"/>
          <w:szCs w:val="18"/>
        </w:rPr>
        <w:t>— Contestada la vista, o vencido su plazo, el Tribunal resolverá sobre la procedencia de la instrucción del sumario.</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31.</w:t>
      </w:r>
      <w:r>
        <w:rPr>
          <w:rStyle w:val="apple-converted-space"/>
          <w:rFonts w:ascii="Verdana" w:hAnsi="Verdana"/>
          <w:b/>
          <w:bCs/>
          <w:color w:val="000000"/>
          <w:sz w:val="18"/>
          <w:szCs w:val="18"/>
        </w:rPr>
        <w:t> </w:t>
      </w:r>
      <w:r>
        <w:rPr>
          <w:rFonts w:ascii="Verdana" w:hAnsi="Verdana"/>
          <w:color w:val="000000"/>
          <w:sz w:val="18"/>
          <w:szCs w:val="18"/>
        </w:rPr>
        <w:t>— Si el Tribunal considera satisfactorias las explicaciones, o si concluida la instrucción no hubiere mérito suficiente para la prosecución del procedimiento, se dispondrá su archivo.</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32.</w:t>
      </w:r>
      <w:r>
        <w:rPr>
          <w:rStyle w:val="apple-converted-space"/>
          <w:rFonts w:ascii="Verdana" w:hAnsi="Verdana"/>
          <w:b/>
          <w:bCs/>
          <w:color w:val="000000"/>
          <w:sz w:val="18"/>
          <w:szCs w:val="18"/>
        </w:rPr>
        <w:t> </w:t>
      </w:r>
      <w:r>
        <w:rPr>
          <w:rFonts w:ascii="Verdana" w:hAnsi="Verdana"/>
          <w:color w:val="000000"/>
          <w:sz w:val="18"/>
          <w:szCs w:val="18"/>
        </w:rPr>
        <w:t>— Concluida la instrucción del sumario el Tribunal notificará a los presuntos responsables para que en un plazo de quince (15) días efectúen su descargo y ofrezcan la prueba que consideren pertinente.</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33.</w:t>
      </w:r>
      <w:r>
        <w:rPr>
          <w:rStyle w:val="apple-converted-space"/>
          <w:rFonts w:ascii="Verdana" w:hAnsi="Verdana"/>
          <w:b/>
          <w:bCs/>
          <w:color w:val="000000"/>
          <w:sz w:val="18"/>
          <w:szCs w:val="18"/>
        </w:rPr>
        <w:t> </w:t>
      </w:r>
      <w:r>
        <w:rPr>
          <w:rFonts w:ascii="Verdana" w:hAnsi="Verdana"/>
          <w:color w:val="000000"/>
          <w:sz w:val="18"/>
          <w:szCs w:val="18"/>
        </w:rPr>
        <w:t>— Las decisiones del Tribunal en materia de prueba son irrecurribles.</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Sin embargo podrá plantearse al Tribunal reconsideración de las medidas de prueba dispuestas con relación a su pertinencia, admisibilidad, idoneidad y conducencia.</w:t>
      </w:r>
      <w:r>
        <w:rPr>
          <w:rStyle w:val="apple-converted-space"/>
          <w:rFonts w:ascii="Verdana" w:hAnsi="Verdana"/>
          <w:i/>
          <w:iCs/>
          <w:color w:val="000000"/>
          <w:sz w:val="18"/>
          <w:szCs w:val="18"/>
        </w:rPr>
        <w:t> </w:t>
      </w:r>
      <w:r>
        <w:rPr>
          <w:rFonts w:ascii="Verdana" w:hAnsi="Verdana"/>
          <w:i/>
          <w:iCs/>
          <w:color w:val="000000"/>
          <w:sz w:val="18"/>
          <w:szCs w:val="18"/>
        </w:rPr>
        <w:t>(Párrafo incorporado por art. 7°</w:t>
      </w:r>
      <w:r>
        <w:rPr>
          <w:rStyle w:val="apple-converted-space"/>
          <w:rFonts w:ascii="Verdana" w:hAnsi="Verdana"/>
          <w:color w:val="000000"/>
          <w:sz w:val="18"/>
          <w:szCs w:val="18"/>
        </w:rPr>
        <w:t> </w:t>
      </w:r>
      <w:r>
        <w:rPr>
          <w:rFonts w:ascii="Verdana" w:hAnsi="Verdana"/>
          <w:i/>
          <w:iCs/>
          <w:color w:val="000000"/>
          <w:sz w:val="18"/>
          <w:szCs w:val="18"/>
        </w:rPr>
        <w:t>del</w:t>
      </w:r>
      <w:r>
        <w:rPr>
          <w:rStyle w:val="apple-converted-space"/>
          <w:rFonts w:ascii="Verdana" w:hAnsi="Verdana"/>
          <w:i/>
          <w:iCs/>
          <w:color w:val="000000"/>
          <w:sz w:val="18"/>
          <w:szCs w:val="18"/>
        </w:rPr>
        <w:t> </w:t>
      </w:r>
      <w:hyperlink r:id="rId11" w:history="1">
        <w:r>
          <w:rPr>
            <w:rStyle w:val="Hipervnculo"/>
            <w:rFonts w:ascii="Verdana" w:hAnsi="Verdana"/>
            <w:i/>
            <w:iCs/>
            <w:sz w:val="18"/>
            <w:szCs w:val="18"/>
          </w:rPr>
          <w:t>Decreto N° 396/2001</w:t>
        </w:r>
      </w:hyperlink>
      <w:r>
        <w:rPr>
          <w:rStyle w:val="apple-converted-space"/>
          <w:rFonts w:ascii="Verdana" w:hAnsi="Verdana"/>
          <w:i/>
          <w:iCs/>
          <w:color w:val="000000"/>
          <w:sz w:val="18"/>
          <w:szCs w:val="18"/>
        </w:rPr>
        <w:t> </w:t>
      </w:r>
      <w:r>
        <w:rPr>
          <w:rFonts w:ascii="Verdana" w:hAnsi="Verdana"/>
          <w:i/>
          <w:iCs/>
          <w:color w:val="000000"/>
          <w:sz w:val="18"/>
          <w:szCs w:val="18"/>
        </w:rPr>
        <w:t>B.O. 5/4/2001.- Vigencia a partir del 9/4/2001).</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34.</w:t>
      </w:r>
      <w:r>
        <w:rPr>
          <w:rStyle w:val="apple-converted-space"/>
          <w:rFonts w:ascii="Verdana" w:hAnsi="Verdana"/>
          <w:b/>
          <w:bCs/>
          <w:color w:val="000000"/>
          <w:sz w:val="18"/>
          <w:szCs w:val="18"/>
        </w:rPr>
        <w:t> </w:t>
      </w:r>
      <w:r>
        <w:rPr>
          <w:rFonts w:ascii="Verdana" w:hAnsi="Verdana"/>
          <w:color w:val="000000"/>
          <w:sz w:val="18"/>
          <w:szCs w:val="18"/>
        </w:rPr>
        <w:t>— Concluido el período de prueba,</w:t>
      </w:r>
      <w:r>
        <w:rPr>
          <w:rStyle w:val="apple-converted-space"/>
          <w:rFonts w:ascii="Verdana" w:hAnsi="Verdana"/>
          <w:color w:val="000000"/>
          <w:sz w:val="18"/>
          <w:szCs w:val="18"/>
        </w:rPr>
        <w:t> </w:t>
      </w:r>
      <w:r>
        <w:rPr>
          <w:rFonts w:ascii="Verdana" w:hAnsi="Verdana"/>
          <w:b/>
          <w:bCs/>
          <w:color w:val="000000"/>
          <w:sz w:val="18"/>
          <w:szCs w:val="18"/>
        </w:rPr>
        <w:t>que será de noventa (90) días, —prorrogables por un período igual si existieran causas debidamente justificadas— o transcurrido el plazo para realizarlo,</w:t>
      </w:r>
      <w:r>
        <w:rPr>
          <w:rStyle w:val="apple-converted-space"/>
          <w:rFonts w:ascii="Verdana" w:hAnsi="Verdana"/>
          <w:b/>
          <w:bCs/>
          <w:color w:val="000000"/>
          <w:sz w:val="18"/>
          <w:szCs w:val="18"/>
        </w:rPr>
        <w:t> </w:t>
      </w:r>
      <w:r>
        <w:rPr>
          <w:rFonts w:ascii="Verdana" w:hAnsi="Verdana"/>
          <w:color w:val="000000"/>
          <w:sz w:val="18"/>
          <w:szCs w:val="18"/>
        </w:rPr>
        <w:t>las partes podrán alegar en el plazo de seis (6) días sobre el mérito de la misma. El Tribunal dictará resolución en un plazo máximo de sesenta (60) días. La resolución del Tribunal pone fin a la vía administrativa.</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35.</w:t>
      </w:r>
      <w:r>
        <w:rPr>
          <w:rStyle w:val="apple-converted-space"/>
          <w:rFonts w:ascii="Verdana" w:hAnsi="Verdana"/>
          <w:b/>
          <w:bCs/>
          <w:color w:val="000000"/>
          <w:sz w:val="18"/>
          <w:szCs w:val="18"/>
        </w:rPr>
        <w:t> </w:t>
      </w:r>
      <w:r>
        <w:rPr>
          <w:rFonts w:ascii="Verdana" w:hAnsi="Verdana"/>
          <w:color w:val="000000"/>
          <w:sz w:val="18"/>
          <w:szCs w:val="18"/>
        </w:rPr>
        <w:t>— El Tribunal en cualquier estado del procedimiento podrá imponer el cumplimiento de condiciones que establezca u ordenar el cese o la abstención de la conducta lesiva. Cuando se pudiere causar una grave lesión al régimen de competencia podrá ordenar las medidas que según las circunstancias fueren más aptas para prevenir dicha lesión. Contra esta resolución podrá interponerse recurso de apelación con efecto devolutivo, en la forma y términos previstos en los artículos 52 y 53.</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En igual sentido podrá disponer de oficio o a pedido de parte la suspensión, modificación o revocación de las medidas dispuestas en virtud de circunstancias sobrevinientes o que no pudieron ser conocidas al momento de su adopción.</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36.</w:t>
      </w:r>
      <w:r>
        <w:rPr>
          <w:rStyle w:val="apple-converted-space"/>
          <w:rFonts w:ascii="Verdana" w:hAnsi="Verdana"/>
          <w:b/>
          <w:bCs/>
          <w:color w:val="000000"/>
          <w:sz w:val="18"/>
          <w:szCs w:val="18"/>
        </w:rPr>
        <w:t> </w:t>
      </w:r>
      <w:r>
        <w:rPr>
          <w:rFonts w:ascii="Verdana" w:hAnsi="Verdana"/>
          <w:color w:val="000000"/>
          <w:sz w:val="18"/>
          <w:szCs w:val="18"/>
        </w:rPr>
        <w:t>— Hasta el dictado de la resolución del artículo 34 el presunto responsable podrá comprometerse al cese inmediato o gradual de los hechos investigados o a la modificación de aspectos relacionados con ello.</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El compromiso estará sujeto a la aprobación del Tribunal Nacional de Defensa de la Competencia a los efectos de producir la suspensión del procedimiento.</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Transcurridos tres (3) años del cumplimiento del compromiso del presente artículo, se archivarán las actuaciones.</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lastRenderedPageBreak/>
        <w:t>ARTICULO 37.</w:t>
      </w:r>
      <w:r>
        <w:rPr>
          <w:rStyle w:val="apple-converted-space"/>
          <w:rFonts w:ascii="Verdana" w:hAnsi="Verdana"/>
          <w:b/>
          <w:bCs/>
          <w:color w:val="000000"/>
          <w:sz w:val="18"/>
          <w:szCs w:val="18"/>
        </w:rPr>
        <w:t> </w:t>
      </w:r>
      <w:r>
        <w:rPr>
          <w:rFonts w:ascii="Verdana" w:hAnsi="Verdana"/>
          <w:color w:val="000000"/>
          <w:sz w:val="18"/>
          <w:szCs w:val="18"/>
        </w:rPr>
        <w:t>— El Tribunal podrá de oficio o a instancia de parte dentro de los tres (3) días de la notificación y sin substanciación, aclarar conceptos oscuros o suplir cualquier omisión que contengan sus resoluciones.</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38.</w:t>
      </w:r>
      <w:r>
        <w:rPr>
          <w:rStyle w:val="apple-converted-space"/>
          <w:rFonts w:ascii="Verdana" w:hAnsi="Verdana"/>
          <w:b/>
          <w:bCs/>
          <w:color w:val="000000"/>
          <w:sz w:val="18"/>
          <w:szCs w:val="18"/>
        </w:rPr>
        <w:t> </w:t>
      </w:r>
      <w:r>
        <w:rPr>
          <w:rFonts w:ascii="Verdana" w:hAnsi="Verdana"/>
          <w:color w:val="000000"/>
          <w:sz w:val="18"/>
          <w:szCs w:val="18"/>
        </w:rPr>
        <w:t>— El Tribunal Nacional de Defensa de la Competencia decidirá la convocatoria a audiencia pública cuando lo considere oportuno para la marcha de las investigaciones.</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39.</w:t>
      </w:r>
      <w:r>
        <w:rPr>
          <w:rStyle w:val="apple-converted-space"/>
          <w:rFonts w:ascii="Verdana" w:hAnsi="Verdana"/>
          <w:b/>
          <w:bCs/>
          <w:color w:val="000000"/>
          <w:sz w:val="18"/>
          <w:szCs w:val="18"/>
        </w:rPr>
        <w:t> </w:t>
      </w:r>
      <w:r>
        <w:rPr>
          <w:rFonts w:ascii="Verdana" w:hAnsi="Verdana"/>
          <w:color w:val="000000"/>
          <w:sz w:val="18"/>
          <w:szCs w:val="18"/>
        </w:rPr>
        <w:t>— La decisión del Tribunal Nacional de Defensa de la Competencia respecto de la realización de la audiencia deberá contener, según corresponda:</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Identificación de la investigación en curso;</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 Carácter de la audiencia;</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c) Objetivo;</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d) Fecha, hora y lugar de realización;</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e) Requisitos para la asistencia y participación.</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40.</w:t>
      </w:r>
      <w:r>
        <w:rPr>
          <w:rStyle w:val="apple-converted-space"/>
          <w:rFonts w:ascii="Verdana" w:hAnsi="Verdana"/>
          <w:b/>
          <w:bCs/>
          <w:color w:val="000000"/>
          <w:sz w:val="18"/>
          <w:szCs w:val="18"/>
        </w:rPr>
        <w:t> </w:t>
      </w:r>
      <w:r>
        <w:rPr>
          <w:rFonts w:ascii="Verdana" w:hAnsi="Verdana"/>
          <w:color w:val="000000"/>
          <w:sz w:val="18"/>
          <w:szCs w:val="18"/>
        </w:rPr>
        <w:t>— Las audiencias deberán ser convocadas con una antelación mínima de veinte (20) días y notificadas a las partes acreditadas en el expediente en un plazo no inferior a quince (15) días.</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41.</w:t>
      </w:r>
      <w:r>
        <w:rPr>
          <w:rStyle w:val="apple-converted-space"/>
          <w:rFonts w:ascii="Verdana" w:hAnsi="Verdana"/>
          <w:b/>
          <w:bCs/>
          <w:color w:val="000000"/>
          <w:sz w:val="18"/>
          <w:szCs w:val="18"/>
        </w:rPr>
        <w:t> </w:t>
      </w:r>
      <w:r>
        <w:rPr>
          <w:rFonts w:ascii="Verdana" w:hAnsi="Verdana"/>
          <w:color w:val="000000"/>
          <w:sz w:val="18"/>
          <w:szCs w:val="18"/>
        </w:rPr>
        <w:t>— La convocatoria a audiencia pública deberá ser publicada en el Boletín Oficial y en dos diarios de circulación nacional con una antelación mínima de diez (10) días. Dicha publicación deberá contener al menos, la información prevista en el artículo 39.</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42.</w:t>
      </w:r>
      <w:r>
        <w:rPr>
          <w:rStyle w:val="apple-converted-space"/>
          <w:rFonts w:ascii="Verdana" w:hAnsi="Verdana"/>
          <w:b/>
          <w:bCs/>
          <w:color w:val="000000"/>
          <w:sz w:val="18"/>
          <w:szCs w:val="18"/>
        </w:rPr>
        <w:t> </w:t>
      </w:r>
      <w:r>
        <w:rPr>
          <w:rFonts w:ascii="Verdana" w:hAnsi="Verdana"/>
          <w:color w:val="000000"/>
          <w:sz w:val="18"/>
          <w:szCs w:val="18"/>
        </w:rPr>
        <w:t>— El Tribunal podrá dar intervención como parte coadyuvante en los procedimientos que se substancien ante el mismo, a los afectados de los hechos investigados, a las asociaciones de consumidores y asociaciones empresarias reconocidas legalmente, a las provincias y a toda otra persona que pueda tener un interés legítimo en los hechos investigados.</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43.</w:t>
      </w:r>
      <w:r>
        <w:rPr>
          <w:rStyle w:val="apple-converted-space"/>
          <w:rFonts w:ascii="Verdana" w:hAnsi="Verdana"/>
          <w:b/>
          <w:bCs/>
          <w:color w:val="000000"/>
          <w:sz w:val="18"/>
          <w:szCs w:val="18"/>
        </w:rPr>
        <w:t> </w:t>
      </w:r>
      <w:r>
        <w:rPr>
          <w:rFonts w:ascii="Verdana" w:hAnsi="Verdana"/>
          <w:color w:val="000000"/>
          <w:sz w:val="18"/>
          <w:szCs w:val="18"/>
        </w:rPr>
        <w:t>— El Tribunal podrá requerir dictámenes sobre los hechos investigados a personas físicas o jurídicas de carácter público o privado de reconocida versación.</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44.</w:t>
      </w:r>
      <w:r>
        <w:rPr>
          <w:rStyle w:val="apple-converted-space"/>
          <w:rFonts w:ascii="Verdana" w:hAnsi="Verdana"/>
          <w:b/>
          <w:bCs/>
          <w:color w:val="000000"/>
          <w:sz w:val="18"/>
          <w:szCs w:val="18"/>
        </w:rPr>
        <w:t> </w:t>
      </w:r>
      <w:r>
        <w:rPr>
          <w:rFonts w:ascii="Verdana" w:hAnsi="Verdana"/>
          <w:color w:val="000000"/>
          <w:sz w:val="18"/>
          <w:szCs w:val="18"/>
        </w:rPr>
        <w:t>— Las resoluciones que establecen sanciones del Tribunal, una vez notificadas a los interesados y firmes, se publicarán en el Boletín Oficial y cuando aquél lo estime conveniente en los diarios de mayor circulación del país a costa del sancionado.</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45.</w:t>
      </w:r>
      <w:r>
        <w:rPr>
          <w:rStyle w:val="apple-converted-space"/>
          <w:rFonts w:ascii="Verdana" w:hAnsi="Verdana"/>
          <w:b/>
          <w:bCs/>
          <w:color w:val="000000"/>
          <w:sz w:val="18"/>
          <w:szCs w:val="18"/>
        </w:rPr>
        <w:t> </w:t>
      </w:r>
      <w:r>
        <w:rPr>
          <w:rFonts w:ascii="Verdana" w:hAnsi="Verdana"/>
          <w:color w:val="000000"/>
          <w:sz w:val="18"/>
          <w:szCs w:val="18"/>
        </w:rPr>
        <w:t>— Quien incurriera en una falsa denuncia será pasible de las sanciones previstas en el artículo 46 inciso b) de la presente ley, cuando el denunciante hubiese utilizado datos o documentos falsos, con el propósito de causar daño a la competencia, sin perjuicio de las demás acciones civiles y penales que correspondieren.</w:t>
      </w:r>
    </w:p>
    <w:p w:rsidR="007678D5" w:rsidRDefault="007678D5" w:rsidP="007678D5">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CAPITULO VII</w:t>
      </w:r>
    </w:p>
    <w:p w:rsidR="007678D5" w:rsidRDefault="007678D5" w:rsidP="007678D5">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DE LAS SANCIONES</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46.</w:t>
      </w:r>
      <w:r>
        <w:rPr>
          <w:rStyle w:val="apple-converted-space"/>
          <w:rFonts w:ascii="Verdana" w:hAnsi="Verdana"/>
          <w:b/>
          <w:bCs/>
          <w:color w:val="000000"/>
          <w:sz w:val="18"/>
          <w:szCs w:val="18"/>
        </w:rPr>
        <w:t> </w:t>
      </w:r>
      <w:r>
        <w:rPr>
          <w:rFonts w:ascii="Verdana" w:hAnsi="Verdana"/>
          <w:color w:val="000000"/>
          <w:sz w:val="18"/>
          <w:szCs w:val="18"/>
        </w:rPr>
        <w:t>— Las personas físicas o de existencia ideal que no cumplan con las disposiciones de esta ley, serán pasibles de las siguientes sanciones:</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lastRenderedPageBreak/>
        <w:t>a) El cese de los actos o conductas previstas en los Capítulos I y II y, en su caso la remoción de sus efectos;</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 Los que realicen los actos prohibidos en los Capítulos I y II y en el artículo 13 del Capítulo III, serán sancionados con una multa de diez mil pesos ($ 10.000) hasta ciento cincuenta millones de pesos ($ 150.000.000), que se graduará en base a: 1. La pérdida incurrida por todas las personas afectadas por la actividad prohibida; 2. El beneficio obtenido por todas las personas involucradas en la actividad prohibida; 3. El valor de los activos involucrados de las personas indicadas en el punto 2 precedente, al momento en que se cometió la violación. En caso de reincidencia, los montos de la multa se duplicarán.</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c) Sin perjuicio de otras sanciones que pudieren corresponder, cuando se verifiquen actos que constituyan abuso de posición dominante o cuando se constate que se ha adquirido o consolidado una posición monopólica u oligopólica en violación de las disposiciones de esta ley, el Tribunal podrá imponer el cumplimiento de condiciones que apunten a neutralizar los aspectos distorsivos sobre la competencia o solicitar al juez competente que las empresas infractoras sean disueltas, liquidadas, desconcentradas o divididas;</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d) Los que no cumplan con lo dispuesto en los artículos 8º, 35 y 36 serán pasibles de una multa de hasta un millón de pesos ($ 1.000.000) diarios, contados desde el vencimiento de la obligación de notificar los proyectos de concentración económica o desde el momento en que se incumple el compromiso o la orden de cese o abstención.</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Ello sin perjuicio de las demás sanciones que pudieren corresponder.</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47.</w:t>
      </w:r>
      <w:r>
        <w:rPr>
          <w:rStyle w:val="apple-converted-space"/>
          <w:rFonts w:ascii="Verdana" w:hAnsi="Verdana"/>
          <w:b/>
          <w:bCs/>
          <w:color w:val="000000"/>
          <w:sz w:val="18"/>
          <w:szCs w:val="18"/>
        </w:rPr>
        <w:t> </w:t>
      </w:r>
      <w:r>
        <w:rPr>
          <w:rFonts w:ascii="Verdana" w:hAnsi="Verdana"/>
          <w:color w:val="000000"/>
          <w:sz w:val="18"/>
          <w:szCs w:val="18"/>
        </w:rPr>
        <w:t>— Las personas de existencia ideal son imputables por las conductas realizadas por las personas físicas que hubiesen actuado en nombre, con la ayuda o en beneficio de la persona de existencia ideal, y aún cuando el acto que hubiese servido de fundamento a la representación sea ineficaz.</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48.</w:t>
      </w:r>
      <w:r>
        <w:rPr>
          <w:rStyle w:val="apple-converted-space"/>
          <w:rFonts w:ascii="Verdana" w:hAnsi="Verdana"/>
          <w:b/>
          <w:bCs/>
          <w:color w:val="000000"/>
          <w:sz w:val="18"/>
          <w:szCs w:val="18"/>
        </w:rPr>
        <w:t> </w:t>
      </w:r>
      <w:r>
        <w:rPr>
          <w:rFonts w:ascii="Verdana" w:hAnsi="Verdana"/>
          <w:color w:val="000000"/>
          <w:sz w:val="18"/>
          <w:szCs w:val="18"/>
        </w:rPr>
        <w:t>— Cuando las infracciones previstas en esta ley fueren cometidas por una persona de existencia ideal, la multa también se aplicará solidariamente a los directores, gerentes, administradores, síndicos o miembros del Consejo de Vigilancia, mandatarios o representantes legales de dicha persona de existencia ideal que por su acción o por la omisión de sus deberes de control, supervisión o vigilancia hubiesen contribuido, alentado o permitido la comisión de la infracción.</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En tal caso, se podrá imponer sanción complementaria de inhabilitación para ejercer el comercio de uno (1) a diez (10) años a la persona de existencia ideal y a las personas enumeradas en el párrafo anterior.</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49.</w:t>
      </w:r>
      <w:r>
        <w:rPr>
          <w:rStyle w:val="apple-converted-space"/>
          <w:rFonts w:ascii="Verdana" w:hAnsi="Verdana"/>
          <w:b/>
          <w:bCs/>
          <w:color w:val="000000"/>
          <w:sz w:val="18"/>
          <w:szCs w:val="18"/>
        </w:rPr>
        <w:t> </w:t>
      </w:r>
      <w:r>
        <w:rPr>
          <w:rFonts w:ascii="Verdana" w:hAnsi="Verdana"/>
          <w:color w:val="000000"/>
          <w:sz w:val="18"/>
          <w:szCs w:val="18"/>
        </w:rPr>
        <w:t>— El Tribunal en la imposición de multas deberá considerar la gravedad de la infracción, el daño causado, los indicios de intencionalidad, la participación del infractor en el mercado, el tamaño del mercado afectado, la duración de la práctica o concentración y la reincidencia o antecedentes del responsable, así como su capacidad económica.</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50.</w:t>
      </w:r>
      <w:r>
        <w:rPr>
          <w:rStyle w:val="apple-converted-space"/>
          <w:rFonts w:ascii="Verdana" w:hAnsi="Verdana"/>
          <w:b/>
          <w:bCs/>
          <w:color w:val="000000"/>
          <w:sz w:val="18"/>
          <w:szCs w:val="18"/>
        </w:rPr>
        <w:t> </w:t>
      </w:r>
      <w:r>
        <w:rPr>
          <w:rFonts w:ascii="Verdana" w:hAnsi="Verdana"/>
          <w:color w:val="000000"/>
          <w:sz w:val="18"/>
          <w:szCs w:val="18"/>
        </w:rPr>
        <w:t>— Los que obstruyan o dificulten la investigación o no cumplan los requerimientos del Tribunal podrán ser sancionados con multas de hasta quinientos pesos ($ 500) diarios.</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Cuando a juicio del Tribunal se haya cometido la infracción mencionada, se dará vista de la imputación al presunto responsable, quien deberá efectuar los descargos y ofrecer pruebas en el plazo de cinco (5) días.</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lastRenderedPageBreak/>
        <w:t>ARTICULO 51.</w:t>
      </w:r>
      <w:r>
        <w:rPr>
          <w:rStyle w:val="apple-converted-space"/>
          <w:rFonts w:ascii="Verdana" w:hAnsi="Verdana"/>
          <w:b/>
          <w:bCs/>
          <w:color w:val="000000"/>
          <w:sz w:val="18"/>
          <w:szCs w:val="18"/>
        </w:rPr>
        <w:t> </w:t>
      </w:r>
      <w:r>
        <w:rPr>
          <w:rFonts w:ascii="Verdana" w:hAnsi="Verdana"/>
          <w:color w:val="000000"/>
          <w:sz w:val="18"/>
          <w:szCs w:val="18"/>
        </w:rPr>
        <w:t>— Las personas físicas o jurídicas damnificadas por los actos prohibidos por esta ley, podrán ejercer la acción de resarcimiento de daños y perjuicios conforme las normas del derecho común, ante el juez competente en esa materia.</w:t>
      </w:r>
    </w:p>
    <w:p w:rsidR="007678D5" w:rsidRDefault="007678D5" w:rsidP="007678D5">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CAPITULO VIII</w:t>
      </w:r>
    </w:p>
    <w:p w:rsidR="007678D5" w:rsidRDefault="007678D5" w:rsidP="007678D5">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DE LAS APELACIONES</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52.</w:t>
      </w:r>
      <w:r>
        <w:rPr>
          <w:rStyle w:val="apple-converted-space"/>
          <w:rFonts w:ascii="Verdana" w:hAnsi="Verdana"/>
          <w:b/>
          <w:bCs/>
          <w:color w:val="000000"/>
          <w:sz w:val="18"/>
          <w:szCs w:val="18"/>
        </w:rPr>
        <w:t> </w:t>
      </w:r>
      <w:r>
        <w:rPr>
          <w:rFonts w:ascii="Verdana" w:hAnsi="Verdana"/>
          <w:color w:val="000000"/>
          <w:sz w:val="18"/>
          <w:szCs w:val="18"/>
        </w:rPr>
        <w:t>— Son apelables aquellas resoluciones dictadas por el Tribunal que ordenen:</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La aplicación de las sanciones</w:t>
      </w:r>
      <w:r>
        <w:rPr>
          <w:rStyle w:val="apple-converted-space"/>
          <w:rFonts w:ascii="Verdana" w:hAnsi="Verdana"/>
          <w:color w:val="000000"/>
          <w:sz w:val="18"/>
          <w:szCs w:val="18"/>
        </w:rPr>
        <w:t> </w:t>
      </w:r>
      <w:r>
        <w:rPr>
          <w:rFonts w:ascii="Verdana" w:hAnsi="Verdana"/>
          <w:b/>
          <w:bCs/>
          <w:color w:val="000000"/>
          <w:sz w:val="18"/>
          <w:szCs w:val="18"/>
        </w:rPr>
        <w:t>de multa;</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 El cese o la abstención de una conducta;</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c) La oposición o condicionamiento respecto de los actos previstos en el Capítulo III;</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d) La desestimación de la denuncia por parte del Tribunal de Defensa de la Competencia.</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Las apelaciones previstas en el inciso a) se otorgarán con efecto suspensivo, y la de los incisos b), c), y d) se concederán con efecto devolutivo.</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53.</w:t>
      </w:r>
      <w:r>
        <w:rPr>
          <w:rStyle w:val="apple-converted-space"/>
          <w:rFonts w:ascii="Verdana" w:hAnsi="Verdana"/>
          <w:b/>
          <w:bCs/>
          <w:color w:val="000000"/>
          <w:sz w:val="18"/>
          <w:szCs w:val="18"/>
        </w:rPr>
        <w:t> </w:t>
      </w:r>
      <w:r>
        <w:rPr>
          <w:rFonts w:ascii="Verdana" w:hAnsi="Verdana"/>
          <w:color w:val="000000"/>
          <w:sz w:val="18"/>
          <w:szCs w:val="18"/>
        </w:rPr>
        <w:t>— El recurso de apelación deberá interponerse y fundarse ante el Tribunal Nacional de Defensa de la Competencia dentro del plazo de quince (15) días de notificada la resolución. Dicho Tribunal dentro de los cinco (5) días de interpuesto el recurso deberá elevar el expediente a la</w:t>
      </w:r>
      <w:r>
        <w:rPr>
          <w:rStyle w:val="apple-converted-space"/>
          <w:rFonts w:ascii="Verdana" w:hAnsi="Verdana"/>
          <w:color w:val="000000"/>
          <w:sz w:val="18"/>
          <w:szCs w:val="18"/>
        </w:rPr>
        <w:t> </w:t>
      </w:r>
      <w:r>
        <w:rPr>
          <w:rFonts w:ascii="Verdana" w:hAnsi="Verdana"/>
          <w:b/>
          <w:bCs/>
          <w:color w:val="000000"/>
          <w:sz w:val="18"/>
          <w:szCs w:val="18"/>
        </w:rPr>
        <w:t>Cámara Nacional de Apelaciones en Comercial o a la</w:t>
      </w:r>
      <w:r>
        <w:rPr>
          <w:rStyle w:val="apple-converted-space"/>
          <w:rFonts w:ascii="Verdana" w:hAnsi="Verdana"/>
          <w:b/>
          <w:bCs/>
          <w:color w:val="000000"/>
          <w:sz w:val="18"/>
          <w:szCs w:val="18"/>
        </w:rPr>
        <w:t> </w:t>
      </w:r>
      <w:r>
        <w:rPr>
          <w:rFonts w:ascii="Verdana" w:hAnsi="Verdana"/>
          <w:color w:val="000000"/>
          <w:sz w:val="18"/>
          <w:szCs w:val="18"/>
        </w:rPr>
        <w:t>Cámara Federal que corresponda</w:t>
      </w:r>
      <w:r>
        <w:rPr>
          <w:rStyle w:val="apple-converted-space"/>
          <w:rFonts w:ascii="Verdana" w:hAnsi="Verdana"/>
          <w:color w:val="000000"/>
          <w:sz w:val="18"/>
          <w:szCs w:val="18"/>
        </w:rPr>
        <w:t> </w:t>
      </w:r>
      <w:r>
        <w:rPr>
          <w:rFonts w:ascii="Verdana" w:hAnsi="Verdana"/>
          <w:b/>
          <w:bCs/>
          <w:color w:val="000000"/>
          <w:sz w:val="18"/>
          <w:szCs w:val="18"/>
        </w:rPr>
        <w:t>en el interior del país.</w:t>
      </w:r>
    </w:p>
    <w:p w:rsidR="007678D5" w:rsidRDefault="007678D5" w:rsidP="007678D5">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CAPITULO IX</w:t>
      </w:r>
    </w:p>
    <w:p w:rsidR="007678D5" w:rsidRDefault="007678D5" w:rsidP="007678D5">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DE LA PRESCRIPCIÓN</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54.</w:t>
      </w:r>
      <w:r>
        <w:rPr>
          <w:rStyle w:val="apple-converted-space"/>
          <w:rFonts w:ascii="Verdana" w:hAnsi="Verdana"/>
          <w:b/>
          <w:bCs/>
          <w:color w:val="000000"/>
          <w:sz w:val="18"/>
          <w:szCs w:val="18"/>
        </w:rPr>
        <w:t> </w:t>
      </w:r>
      <w:r>
        <w:rPr>
          <w:rFonts w:ascii="Verdana" w:hAnsi="Verdana"/>
          <w:color w:val="000000"/>
          <w:sz w:val="18"/>
          <w:szCs w:val="18"/>
        </w:rPr>
        <w:t>— Las acciones que nacen de las infracciones previstas en esta ley prescriben los cinco (5) años.</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55.</w:t>
      </w:r>
      <w:r>
        <w:rPr>
          <w:rStyle w:val="apple-converted-space"/>
          <w:rFonts w:ascii="Verdana" w:hAnsi="Verdana"/>
          <w:b/>
          <w:bCs/>
          <w:color w:val="000000"/>
          <w:sz w:val="18"/>
          <w:szCs w:val="18"/>
        </w:rPr>
        <w:t> </w:t>
      </w:r>
      <w:r>
        <w:rPr>
          <w:rFonts w:ascii="Verdana" w:hAnsi="Verdana"/>
          <w:color w:val="000000"/>
          <w:sz w:val="18"/>
          <w:szCs w:val="18"/>
        </w:rPr>
        <w:t>— Los plazos de prescripción se interrumpen con la denuncia o por la comisión de otro hecho sancionado por la presente ley.</w:t>
      </w:r>
    </w:p>
    <w:p w:rsidR="007678D5" w:rsidRDefault="007678D5" w:rsidP="007678D5">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CAPITULO X</w:t>
      </w:r>
    </w:p>
    <w:p w:rsidR="007678D5" w:rsidRDefault="007678D5" w:rsidP="007678D5">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DISPOSICIONES TRANSITORIAS Y COMPLEMENTARIAS</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56.</w:t>
      </w:r>
      <w:r>
        <w:rPr>
          <w:rStyle w:val="apple-converted-space"/>
          <w:rFonts w:ascii="Verdana" w:hAnsi="Verdana"/>
          <w:b/>
          <w:bCs/>
          <w:color w:val="000000"/>
          <w:sz w:val="18"/>
          <w:szCs w:val="18"/>
        </w:rPr>
        <w:t> </w:t>
      </w:r>
      <w:r>
        <w:rPr>
          <w:rFonts w:ascii="Verdana" w:hAnsi="Verdana"/>
          <w:color w:val="000000"/>
          <w:sz w:val="18"/>
          <w:szCs w:val="18"/>
        </w:rPr>
        <w:t>— Será de aplicación en los casos no previstos por esta ley y su reglamentación el Código Penal de la Nación, el Código Procesal Penal</w:t>
      </w:r>
      <w:r>
        <w:rPr>
          <w:rStyle w:val="apple-converted-space"/>
          <w:rFonts w:ascii="Verdana" w:hAnsi="Verdana"/>
          <w:color w:val="000000"/>
          <w:sz w:val="18"/>
          <w:szCs w:val="18"/>
        </w:rPr>
        <w:t> </w:t>
      </w:r>
      <w:r>
        <w:rPr>
          <w:rFonts w:ascii="Verdana" w:hAnsi="Verdana"/>
          <w:b/>
          <w:bCs/>
          <w:color w:val="000000"/>
          <w:sz w:val="18"/>
          <w:szCs w:val="18"/>
        </w:rPr>
        <w:t>y el Código Procesal Civil y Comercial de la Nación</w:t>
      </w:r>
      <w:r>
        <w:rPr>
          <w:rStyle w:val="apple-converted-space"/>
          <w:rFonts w:ascii="Verdana" w:hAnsi="Verdana"/>
          <w:b/>
          <w:bCs/>
          <w:color w:val="000000"/>
          <w:sz w:val="18"/>
          <w:szCs w:val="18"/>
        </w:rPr>
        <w:t> </w:t>
      </w:r>
      <w:r>
        <w:rPr>
          <w:rFonts w:ascii="Verdana" w:hAnsi="Verdana"/>
          <w:color w:val="000000"/>
          <w:sz w:val="18"/>
          <w:szCs w:val="18"/>
        </w:rPr>
        <w:t>en cuanto sean compatibles con las disposiciones de esta ley.</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57.</w:t>
      </w:r>
      <w:r>
        <w:rPr>
          <w:rStyle w:val="apple-converted-space"/>
          <w:rFonts w:ascii="Verdana" w:hAnsi="Verdana"/>
          <w:b/>
          <w:bCs/>
          <w:color w:val="000000"/>
          <w:sz w:val="18"/>
          <w:szCs w:val="18"/>
        </w:rPr>
        <w:t> </w:t>
      </w:r>
      <w:r>
        <w:rPr>
          <w:rFonts w:ascii="Verdana" w:hAnsi="Verdana"/>
          <w:color w:val="000000"/>
          <w:sz w:val="18"/>
          <w:szCs w:val="18"/>
        </w:rPr>
        <w:t>— No serán aplicables a las cuestiones regidas por esta ley las disposiciones de la ley 19.549.</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58.</w:t>
      </w:r>
      <w:r>
        <w:rPr>
          <w:rStyle w:val="apple-converted-space"/>
          <w:rFonts w:ascii="Verdana" w:hAnsi="Verdana"/>
          <w:b/>
          <w:bCs/>
          <w:color w:val="000000"/>
          <w:sz w:val="18"/>
          <w:szCs w:val="18"/>
        </w:rPr>
        <w:t> </w:t>
      </w:r>
      <w:r>
        <w:rPr>
          <w:rFonts w:ascii="Verdana" w:hAnsi="Verdana"/>
          <w:color w:val="000000"/>
          <w:sz w:val="18"/>
          <w:szCs w:val="18"/>
        </w:rPr>
        <w:t xml:space="preserve">— Derógase la ley 22.262. No obstante ello, las causas en trámite a la fecha de entrada en vigencia de la presente ley, continuarán tramitando de acuerdo con sus disposiciones ante el órgano de aplicación de </w:t>
      </w:r>
      <w:r>
        <w:rPr>
          <w:rFonts w:ascii="Verdana" w:hAnsi="Verdana"/>
          <w:color w:val="000000"/>
          <w:sz w:val="18"/>
          <w:szCs w:val="18"/>
        </w:rPr>
        <w:lastRenderedPageBreak/>
        <w:t>dicha norma, el que subsistirá hasta la constitución y puesta en funcionamiento del Tribunal Nacional de Defensa de la Competencia. Asimismo, entenderá en todas las causas promovidas a partir de la entrada en vigencia de esta ley. Constituido el Tribunal las causas serán giradas a éste a efectos de continuar con la substanciación de las mismas.</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59.</w:t>
      </w:r>
      <w:r>
        <w:rPr>
          <w:rStyle w:val="apple-converted-space"/>
          <w:rFonts w:ascii="Verdana" w:hAnsi="Verdana"/>
          <w:b/>
          <w:bCs/>
          <w:color w:val="000000"/>
          <w:sz w:val="18"/>
          <w:szCs w:val="18"/>
        </w:rPr>
        <w:t> </w:t>
      </w:r>
      <w:r>
        <w:rPr>
          <w:rFonts w:ascii="Verdana" w:hAnsi="Verdana"/>
          <w:color w:val="000000"/>
          <w:sz w:val="18"/>
          <w:szCs w:val="18"/>
        </w:rPr>
        <w:t>— Queda derogada toda atribución de competencia relacionada con el objeto finalidad de esta ley otorgada a otros organismos o entes estatales.</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60.</w:t>
      </w:r>
      <w:r>
        <w:rPr>
          <w:rStyle w:val="apple-converted-space"/>
          <w:rFonts w:ascii="Verdana" w:hAnsi="Verdana"/>
          <w:b/>
          <w:bCs/>
          <w:color w:val="000000"/>
          <w:sz w:val="18"/>
          <w:szCs w:val="18"/>
        </w:rPr>
        <w:t> </w:t>
      </w:r>
      <w:r>
        <w:rPr>
          <w:rFonts w:ascii="Verdana" w:hAnsi="Verdana"/>
          <w:color w:val="000000"/>
          <w:sz w:val="18"/>
          <w:szCs w:val="18"/>
        </w:rPr>
        <w:t>— El Poder Ejecutivo reglamentará la presente ley, en el término de ciento veinte (120) días, computados a partir de su publicación.</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61.</w:t>
      </w:r>
      <w:r>
        <w:rPr>
          <w:rStyle w:val="apple-converted-space"/>
          <w:rFonts w:ascii="Verdana" w:hAnsi="Verdana"/>
          <w:b/>
          <w:bCs/>
          <w:color w:val="000000"/>
          <w:sz w:val="18"/>
          <w:szCs w:val="18"/>
        </w:rPr>
        <w:t> </w:t>
      </w:r>
      <w:r>
        <w:rPr>
          <w:rFonts w:ascii="Verdana" w:hAnsi="Verdana"/>
          <w:color w:val="000000"/>
          <w:sz w:val="18"/>
          <w:szCs w:val="18"/>
        </w:rPr>
        <w:t>— Comuníquese al Poder Ejecutivo.</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DADA EN LA SALA DE SESIONES DEL CONGRESO ARGENTINO, EN BUENOS AIRES, LOS VEINTICINCO DIAS DEL MES DE AGOSTO DEL AÑO MIL NOVECIENTOS NOVENTA NUEVE.</w:t>
      </w:r>
    </w:p>
    <w:p w:rsidR="007678D5" w:rsidRDefault="007678D5" w:rsidP="007678D5">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—REGISTRADA BAJO EL Nº 25.156—</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ALBERTO R. PIERRI. — CARLOS RUCKAUF. — Juan Estrada. — Juan C. Oyarzún.</w:t>
      </w:r>
    </w:p>
    <w:p w:rsidR="007678D5" w:rsidRDefault="007678D5" w:rsidP="007678D5">
      <w:pPr>
        <w:pStyle w:val="NormalWeb"/>
        <w:spacing w:before="150" w:beforeAutospacing="0" w:after="300" w:afterAutospacing="0"/>
        <w:ind w:left="600" w:right="600"/>
        <w:rPr>
          <w:rFonts w:ascii="Verdana" w:hAnsi="Verdana"/>
          <w:b/>
          <w:bCs/>
          <w:color w:val="000000"/>
          <w:sz w:val="18"/>
          <w:szCs w:val="18"/>
        </w:rPr>
      </w:pPr>
      <w:r>
        <w:rPr>
          <w:rFonts w:ascii="Verdana" w:hAnsi="Verdana"/>
          <w:b/>
          <w:bCs/>
          <w:color w:val="000000"/>
          <w:sz w:val="18"/>
          <w:szCs w:val="18"/>
        </w:rPr>
        <w:t>NOTA: Los textos en negrita, fueron observados por Decreto 1019/99.</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 </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bookmarkStart w:id="0" w:name="1"/>
      <w:bookmarkEnd w:id="0"/>
      <w:r>
        <w:rPr>
          <w:rFonts w:ascii="Verdana" w:hAnsi="Verdana"/>
          <w:b/>
          <w:bCs/>
          <w:color w:val="000000"/>
          <w:sz w:val="18"/>
          <w:szCs w:val="18"/>
        </w:rPr>
        <w:t>Antecedentes Normativos</w:t>
      </w:r>
    </w:p>
    <w:p w:rsidR="007678D5" w:rsidRDefault="007678D5" w:rsidP="007678D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w:t>
      </w:r>
      <w:r>
        <w:rPr>
          <w:rStyle w:val="apple-converted-space"/>
          <w:rFonts w:ascii="Verdana" w:hAnsi="Verdana"/>
          <w:color w:val="000000"/>
          <w:sz w:val="18"/>
          <w:szCs w:val="18"/>
        </w:rPr>
        <w:t> </w:t>
      </w:r>
      <w:r>
        <w:rPr>
          <w:rFonts w:ascii="Verdana" w:hAnsi="Verdana"/>
          <w:i/>
          <w:iCs/>
          <w:color w:val="000000"/>
          <w:sz w:val="18"/>
          <w:szCs w:val="18"/>
        </w:rPr>
        <w:t>Artículo 8°, primer párrafo, expresión observada por art. 1° del</w:t>
      </w:r>
      <w:r>
        <w:rPr>
          <w:rStyle w:val="apple-converted-space"/>
          <w:rFonts w:ascii="Verdana" w:hAnsi="Verdana"/>
          <w:i/>
          <w:iCs/>
          <w:color w:val="000000"/>
          <w:sz w:val="18"/>
          <w:szCs w:val="18"/>
        </w:rPr>
        <w:t> </w:t>
      </w:r>
      <w:hyperlink r:id="rId12" w:history="1">
        <w:r>
          <w:rPr>
            <w:rStyle w:val="Hipervnculo"/>
            <w:rFonts w:ascii="Verdana" w:hAnsi="Verdana"/>
            <w:i/>
            <w:iCs/>
            <w:sz w:val="18"/>
            <w:szCs w:val="18"/>
          </w:rPr>
          <w:t>Decreto N° 1019/1999</w:t>
        </w:r>
      </w:hyperlink>
      <w:r>
        <w:rPr>
          <w:rStyle w:val="apple-converted-space"/>
          <w:rFonts w:ascii="Verdana" w:hAnsi="Verdana"/>
          <w:i/>
          <w:iCs/>
          <w:color w:val="000000"/>
          <w:sz w:val="18"/>
          <w:szCs w:val="18"/>
        </w:rPr>
        <w:t> </w:t>
      </w:r>
      <w:r>
        <w:rPr>
          <w:rFonts w:ascii="Verdana" w:hAnsi="Verdana"/>
          <w:i/>
          <w:iCs/>
          <w:color w:val="000000"/>
          <w:sz w:val="18"/>
          <w:szCs w:val="18"/>
        </w:rPr>
        <w:t>B.O. 20/9/1999.</w:t>
      </w:r>
    </w:p>
    <w:p w:rsidR="00C7344F" w:rsidRDefault="00C7344F"/>
    <w:sectPr w:rsidR="00C7344F" w:rsidSect="00C7344F">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7678D5"/>
    <w:rsid w:val="007678D5"/>
    <w:rsid w:val="00C7344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344F"/>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7678D5"/>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Hipervnculo">
    <w:name w:val="Hyperlink"/>
    <w:basedOn w:val="Fuentedeprrafopredeter"/>
    <w:uiPriority w:val="99"/>
    <w:semiHidden/>
    <w:unhideWhenUsed/>
    <w:rsid w:val="007678D5"/>
    <w:rPr>
      <w:color w:val="0000FF"/>
      <w:u w:val="single"/>
    </w:rPr>
  </w:style>
  <w:style w:type="character" w:customStyle="1" w:styleId="apple-converted-space">
    <w:name w:val="apple-converted-space"/>
    <w:basedOn w:val="Fuentedeprrafopredeter"/>
    <w:rsid w:val="007678D5"/>
  </w:style>
</w:styles>
</file>

<file path=word/webSettings.xml><?xml version="1.0" encoding="utf-8"?>
<w:webSettings xmlns:r="http://schemas.openxmlformats.org/officeDocument/2006/relationships" xmlns:w="http://schemas.openxmlformats.org/wordprocessingml/2006/main">
  <w:divs>
    <w:div w:id="595014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nfoleg.mecon.gov.ar/scripts1/busquedas/cnsnorma.asp?tipo=Decreto&amp;nro=396%2F2001"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infoleg.mecon.gov.ar/scripts1/busquedas/cnsnorma.asp?tipo=Decreto&amp;nro=396%2F2001" TargetMode="External"/><Relationship Id="rId12" Type="http://schemas.openxmlformats.org/officeDocument/2006/relationships/hyperlink" Target="http://infoleg.mecon.gov.ar/scripts1/busquedas/cnsnorma.asp?tipo=Decreto&amp;nro=1019%2F199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infoleg.mecon.gov.ar/scripts1/busquedas/cnsnorma.asp?tipo=Decreto&amp;nro=396%2F2001" TargetMode="External"/><Relationship Id="rId11" Type="http://schemas.openxmlformats.org/officeDocument/2006/relationships/hyperlink" Target="http://infoleg.mecon.gov.ar/scripts1/busquedas/cnsnorma.asp?tipo=Decreto&amp;nro=396%2F2001" TargetMode="External"/><Relationship Id="rId5" Type="http://schemas.openxmlformats.org/officeDocument/2006/relationships/hyperlink" Target="http://infoleg.mecon.gov.ar/scripts1/busquedas/cnsnorma.asp?tipo=Decreto&amp;nro=396%2F2001" TargetMode="External"/><Relationship Id="rId10" Type="http://schemas.openxmlformats.org/officeDocument/2006/relationships/hyperlink" Target="http://infoleg.mecon.gov.ar/scripts1/busquedas/cnsnorma.asp?tipo=Decreto&amp;nro=396%2F2001" TargetMode="External"/><Relationship Id="rId4" Type="http://schemas.openxmlformats.org/officeDocument/2006/relationships/hyperlink" Target="http://www.infoleg.gob.ar/infolegInternet/anexos/60000-64999/60016/texact.htm" TargetMode="External"/><Relationship Id="rId9" Type="http://schemas.openxmlformats.org/officeDocument/2006/relationships/hyperlink" Target="http://infoleg.mecon.gov.ar/scripts1/busquedas/cnsnorma.asp?tipo=Decreto&amp;nro=396%2F2001"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5283</Words>
  <Characters>29062</Characters>
  <Application>Microsoft Office Word</Application>
  <DocSecurity>0</DocSecurity>
  <Lines>242</Lines>
  <Paragraphs>68</Paragraphs>
  <ScaleCrop>false</ScaleCrop>
  <Company/>
  <LinksUpToDate>false</LinksUpToDate>
  <CharactersWithSpaces>34277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dc:creator>
  <cp:lastModifiedBy>Ivan</cp:lastModifiedBy>
  <cp:revision>1</cp:revision>
  <dcterms:created xsi:type="dcterms:W3CDTF">2014-05-18T23:28:00Z</dcterms:created>
  <dcterms:modified xsi:type="dcterms:W3CDTF">2014-05-18T23:29:00Z</dcterms:modified>
</cp:coreProperties>
</file>